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415" w:lineRule="auto" w:before="18"/>
        <w:ind w:left="907" w:right="891" w:firstLine="1111"/>
        <w:jc w:val="left"/>
        <w:rPr>
          <w:b/>
          <w:sz w:val="28"/>
        </w:rPr>
      </w:pPr>
      <w:r>
        <w:rPr>
          <w:b/>
          <w:sz w:val="28"/>
        </w:rPr>
        <w:t>ΟΔΗΓΟΣ ΠΑΡΑΚΟΛΟΥΘΗΣΗΣ &amp; ΕΛΕΓΧΟΥ ΟΙΚΟΝΟΜΙΚΩΝ ΔΡΑΣΤΗΡΙΟΤΗΤΩΝ ΕΡΕΥΝΗΤΙΚΩΝ ΦΟΡΕΩΝ</w:t>
      </w:r>
    </w:p>
    <w:p>
      <w:pPr>
        <w:pStyle w:val="BodyText"/>
        <w:spacing w:before="3"/>
        <w:rPr>
          <w:b/>
          <w:sz w:val="37"/>
        </w:rPr>
      </w:pPr>
    </w:p>
    <w:p>
      <w:pPr>
        <w:pStyle w:val="Heading1"/>
        <w:spacing w:before="1"/>
      </w:pPr>
      <w:r>
        <w:rPr/>
        <w:t>ΣΚΟΠΟΣ</w:t>
      </w:r>
    </w:p>
    <w:p>
      <w:pPr>
        <w:pStyle w:val="BodyText"/>
        <w:spacing w:line="268" w:lineRule="auto" w:before="151"/>
        <w:ind w:left="219" w:right="216" w:firstLine="709"/>
        <w:jc w:val="both"/>
      </w:pPr>
      <w:r>
        <w:rPr/>
        <w:t>Σκοπός του παρόντος υποστηρικτικού υλικού είναι η παροχή οδηγιών στους Δικαιούχους των προσκλήσεων 031 «ΔΡΑΣΗ ΣΤΡΑΤΗΓΙΚΗΣ ΑΝΑΠΤΥΞΗΣ ΕΡΕΥΝΗΤΙΚΩΝ ΚΑΙ ΤΕΧΝΟΛΟΓΙΚΩΝ ΦΟΡΕΩΝ (ΚΡΗΠΙΣ ΙΙ)» και 039‐088 «ΕΝΙΣΧΥΣΗ ΤΩΝ ΥΠΟΔΟΜΩΝ ΕΡΕΥΝΑΣ</w:t>
      </w:r>
    </w:p>
    <w:p>
      <w:pPr>
        <w:pStyle w:val="BodyText"/>
        <w:spacing w:line="268" w:lineRule="auto"/>
        <w:ind w:left="220" w:right="213" w:hanging="1"/>
        <w:jc w:val="both"/>
      </w:pPr>
      <w:r>
        <w:rPr/>
        <w:t>ΚΑΙ ΚΑΙΝΟΤΟΜΙΑΣ» (Α και Β ΚΥΚΛΟΣ), προκειμένου να είναι εφικτός ο έλεγχος της τήρησης του Ειδικού Όρου των Αποφάσεων ένταξης των Πράξεων αναφορικά με τις υποχρεώσεις που απορρέουν από το με Α.Π. 49939/ΕΥΚΕ 1942/13.05.2016 έγγραφο της Ειδικής Υπηρεσίας Κρατικών Ενισχύσεων (ΕΥΚΕ) με Θέμα «Κρατικές Ενισχύσεις και Δημόσια χρηματοδότηση Ερευνητικών Οργανισμών – Ερευνητικών Υποδομών»</w:t>
      </w:r>
      <w:r>
        <w:rPr>
          <w:vertAlign w:val="superscript"/>
        </w:rPr>
        <w:t>1</w:t>
      </w:r>
      <w:r>
        <w:rPr>
          <w:vertAlign w:val="baseline"/>
        </w:rPr>
        <w:t>.</w:t>
      </w:r>
    </w:p>
    <w:p>
      <w:pPr>
        <w:pStyle w:val="BodyText"/>
        <w:rPr>
          <w:sz w:val="26"/>
        </w:rPr>
      </w:pPr>
    </w:p>
    <w:p>
      <w:pPr>
        <w:pStyle w:val="Heading1"/>
        <w:spacing w:before="216"/>
      </w:pPr>
      <w:r>
        <w:rPr/>
        <w:t>ΚΕΙΜΕΝΑ ΑΝΑΦΟΡΑΣ</w:t>
      </w:r>
    </w:p>
    <w:p>
      <w:pPr>
        <w:pStyle w:val="ListParagraph"/>
        <w:numPr>
          <w:ilvl w:val="0"/>
          <w:numId w:val="1"/>
        </w:numPr>
        <w:tabs>
          <w:tab w:pos="930" w:val="left" w:leader="none"/>
        </w:tabs>
        <w:spacing w:line="240" w:lineRule="auto" w:before="20" w:after="0"/>
        <w:ind w:left="929" w:right="0" w:hanging="283"/>
        <w:jc w:val="left"/>
        <w:rPr>
          <w:sz w:val="22"/>
        </w:rPr>
      </w:pPr>
      <w:r>
        <w:rPr>
          <w:sz w:val="22"/>
        </w:rPr>
        <w:t>«Κρατικές</w:t>
      </w:r>
      <w:r>
        <w:rPr>
          <w:spacing w:val="15"/>
          <w:sz w:val="22"/>
        </w:rPr>
        <w:t> </w:t>
      </w:r>
      <w:r>
        <w:rPr>
          <w:sz w:val="22"/>
        </w:rPr>
        <w:t>Ενισχύσεις</w:t>
      </w:r>
      <w:r>
        <w:rPr>
          <w:spacing w:val="15"/>
          <w:sz w:val="22"/>
        </w:rPr>
        <w:t> </w:t>
      </w:r>
      <w:r>
        <w:rPr>
          <w:sz w:val="22"/>
        </w:rPr>
        <w:t>και</w:t>
      </w:r>
      <w:r>
        <w:rPr>
          <w:spacing w:val="15"/>
          <w:sz w:val="22"/>
        </w:rPr>
        <w:t> </w:t>
      </w:r>
      <w:r>
        <w:rPr>
          <w:sz w:val="22"/>
        </w:rPr>
        <w:t>Δημόσια</w:t>
      </w:r>
      <w:r>
        <w:rPr>
          <w:spacing w:val="16"/>
          <w:sz w:val="22"/>
        </w:rPr>
        <w:t> </w:t>
      </w:r>
      <w:r>
        <w:rPr>
          <w:sz w:val="22"/>
        </w:rPr>
        <w:t>χρηματοδότηση</w:t>
      </w:r>
      <w:r>
        <w:rPr>
          <w:spacing w:val="15"/>
          <w:sz w:val="22"/>
        </w:rPr>
        <w:t> </w:t>
      </w:r>
      <w:r>
        <w:rPr>
          <w:sz w:val="22"/>
        </w:rPr>
        <w:t>Ερευνητικών</w:t>
      </w:r>
      <w:r>
        <w:rPr>
          <w:spacing w:val="16"/>
          <w:sz w:val="22"/>
        </w:rPr>
        <w:t> </w:t>
      </w:r>
      <w:r>
        <w:rPr>
          <w:sz w:val="22"/>
        </w:rPr>
        <w:t>Οργανισμών</w:t>
      </w:r>
      <w:r>
        <w:rPr>
          <w:spacing w:val="16"/>
          <w:sz w:val="22"/>
        </w:rPr>
        <w:t> </w:t>
      </w:r>
      <w:r>
        <w:rPr>
          <w:sz w:val="22"/>
        </w:rPr>
        <w:t>–</w:t>
      </w:r>
    </w:p>
    <w:p>
      <w:pPr>
        <w:pStyle w:val="BodyText"/>
        <w:spacing w:before="32"/>
        <w:ind w:left="929"/>
      </w:pPr>
      <w:r>
        <w:rPr/>
        <w:t>Ερευνητικών Υποδομών» (Α.Π. 49939/ΕΥΚΕ 1942/13.05.2016)</w:t>
      </w:r>
    </w:p>
    <w:p>
      <w:pPr>
        <w:pStyle w:val="ListParagraph"/>
        <w:numPr>
          <w:ilvl w:val="0"/>
          <w:numId w:val="1"/>
        </w:numPr>
        <w:tabs>
          <w:tab w:pos="978" w:val="left" w:leader="none"/>
          <w:tab w:pos="979" w:val="left" w:leader="none"/>
        </w:tabs>
        <w:spacing w:line="266" w:lineRule="auto" w:before="19" w:after="0"/>
        <w:ind w:left="929" w:right="217" w:hanging="283"/>
        <w:jc w:val="left"/>
        <w:rPr>
          <w:sz w:val="22"/>
        </w:rPr>
      </w:pPr>
      <w:r>
        <w:rPr/>
        <w:tab/>
      </w:r>
      <w:r>
        <w:rPr>
          <w:sz w:val="22"/>
        </w:rPr>
        <w:t>«Ανακοίνωση της Eπιτροπής – Πλαίσιο σχετικά με τις κρατικές ενισχύσεις για την έρευνα και ανάπτυξη και την καινοτομία» (2014/ C 198/ 01/</w:t>
      </w:r>
      <w:r>
        <w:rPr>
          <w:spacing w:val="-10"/>
          <w:sz w:val="22"/>
        </w:rPr>
        <w:t> </w:t>
      </w:r>
      <w:r>
        <w:rPr>
          <w:sz w:val="22"/>
        </w:rPr>
        <w:t>27.06.2014)</w:t>
      </w:r>
    </w:p>
    <w:p>
      <w:pPr>
        <w:pStyle w:val="ListParagraph"/>
        <w:numPr>
          <w:ilvl w:val="0"/>
          <w:numId w:val="1"/>
        </w:numPr>
        <w:tabs>
          <w:tab w:pos="930" w:val="left" w:leader="none"/>
        </w:tabs>
        <w:spacing w:line="266" w:lineRule="auto" w:before="0" w:after="0"/>
        <w:ind w:left="929" w:right="214" w:hanging="283"/>
        <w:jc w:val="both"/>
        <w:rPr>
          <w:sz w:val="22"/>
        </w:rPr>
      </w:pPr>
      <w:r>
        <w:rPr>
          <w:sz w:val="22"/>
        </w:rPr>
        <w:t>«Analytical Grids on the application of State aid rules to the financing of infrastructure projects», Grid No 4: Research development and innovation (21.09.2015)</w:t>
      </w:r>
    </w:p>
    <w:p>
      <w:pPr>
        <w:pStyle w:val="BodyText"/>
      </w:pPr>
    </w:p>
    <w:p>
      <w:pPr>
        <w:pStyle w:val="Heading1"/>
        <w:spacing w:before="149"/>
      </w:pPr>
      <w:r>
        <w:rPr/>
        <w:t>ΠΕΡΙΓΡΑΦΗ ΚΑΝΟΝΙΣΤΙΚΟΥ ΠΛΑΙΣΙΟΥ</w:t>
      </w:r>
    </w:p>
    <w:p>
      <w:pPr>
        <w:pStyle w:val="BodyText"/>
        <w:spacing w:line="268" w:lineRule="auto" w:before="32"/>
        <w:ind w:left="220" w:right="214" w:firstLine="709"/>
        <w:jc w:val="both"/>
      </w:pPr>
      <w:r>
        <w:rPr/>
        <w:t>Όπως περιγράφεται στο Πλαίσιο σχετικά με τις κρατικές ενισχύσεις για την έρευνα και ανάπτυξη και την καινοτομία, η δημόσια χρηματοδότηση Ερευνητικού φορέα δεν αποτελεί κρατική ενίσχυση και δεν εμπίπτει στους περιορισμούς που απορρέουν από τον Κανονισμό ΕΕ 651/2014 (π.χ. μέγιστη ένταση ενίσχυσης, όριο υποχρέωσης κοινοποίησης στην ΕΕ, κριτήρια επιλεξιμότητας δαπανών) εφόσον</w:t>
      </w:r>
    </w:p>
    <w:p>
      <w:pPr>
        <w:pStyle w:val="ListParagraph"/>
        <w:numPr>
          <w:ilvl w:val="0"/>
          <w:numId w:val="1"/>
        </w:numPr>
        <w:tabs>
          <w:tab w:pos="930" w:val="left" w:leader="none"/>
        </w:tabs>
        <w:spacing w:line="265" w:lineRule="exact" w:before="0" w:after="0"/>
        <w:ind w:left="929" w:right="0" w:hanging="283"/>
        <w:jc w:val="left"/>
        <w:rPr>
          <w:sz w:val="22"/>
        </w:rPr>
      </w:pPr>
      <w:r>
        <w:rPr>
          <w:sz w:val="22"/>
        </w:rPr>
        <w:t>το μέτρο στήριξης αφορά σε δραστηριότητες μη οικονομικής</w:t>
      </w:r>
      <w:r>
        <w:rPr>
          <w:spacing w:val="-10"/>
          <w:sz w:val="22"/>
        </w:rPr>
        <w:t> </w:t>
      </w:r>
      <w:r>
        <w:rPr>
          <w:sz w:val="22"/>
        </w:rPr>
        <w:t>φύσης</w:t>
      </w:r>
    </w:p>
    <w:p>
      <w:pPr>
        <w:pStyle w:val="ListParagraph"/>
        <w:numPr>
          <w:ilvl w:val="0"/>
          <w:numId w:val="1"/>
        </w:numPr>
        <w:tabs>
          <w:tab w:pos="930" w:val="left" w:leader="none"/>
        </w:tabs>
        <w:spacing w:line="266" w:lineRule="auto" w:before="19" w:after="0"/>
        <w:ind w:left="929" w:right="215" w:hanging="283"/>
        <w:jc w:val="left"/>
        <w:rPr>
          <w:sz w:val="22"/>
        </w:rPr>
      </w:pPr>
      <w:r>
        <w:rPr>
          <w:sz w:val="22"/>
        </w:rPr>
        <w:t>διασφαλίζεται η αποφυγή σταυροειδούς επιδότησης οποιασδήποτε οικονομικής δραστηριότητας που είναι πιθανό να ασκείται από το</w:t>
      </w:r>
      <w:r>
        <w:rPr>
          <w:spacing w:val="-3"/>
          <w:sz w:val="22"/>
        </w:rPr>
        <w:t> </w:t>
      </w:r>
      <w:r>
        <w:rPr>
          <w:sz w:val="22"/>
        </w:rPr>
        <w:t>φορέα.</w:t>
      </w:r>
    </w:p>
    <w:p>
      <w:pPr>
        <w:pStyle w:val="BodyText"/>
        <w:spacing w:line="268" w:lineRule="auto" w:before="124"/>
        <w:ind w:left="220" w:right="215" w:firstLine="709"/>
        <w:jc w:val="both"/>
      </w:pPr>
      <w:r>
        <w:rPr/>
        <w:t>Εάν η δημόσια χρηματοδότηση που λαμβάνει Ερευνητικός Οργανισμός – Ερευνητική Υποδομή αφορά σε οικονομική δραστηριότητα, τότε θεωρείται ότι συνιστά κρατική</w:t>
      </w:r>
      <w:r>
        <w:rPr>
          <w:spacing w:val="-2"/>
        </w:rPr>
        <w:t> </w:t>
      </w:r>
      <w:r>
        <w:rPr/>
        <w:t>ενίσχυση.</w:t>
      </w:r>
    </w:p>
    <w:p>
      <w:pPr>
        <w:pStyle w:val="BodyText"/>
        <w:rPr>
          <w:sz w:val="20"/>
        </w:rPr>
      </w:pPr>
    </w:p>
    <w:p>
      <w:pPr>
        <w:pStyle w:val="BodyText"/>
        <w:spacing w:before="1"/>
        <w:rPr>
          <w:sz w:val="11"/>
        </w:rPr>
      </w:pPr>
      <w:r>
        <w:rPr/>
        <w:pict>
          <v:line style="position:absolute;mso-position-horizontal-relative:page;mso-position-vertical-relative:paragraph;z-index:-1024;mso-wrap-distance-left:0;mso-wrap-distance-right:0" from="90pt,9.154613pt" to="234pt,9.154613pt" stroked="true" strokeweight=".72pt" strokecolor="#000000">
            <v:stroke dashstyle="solid"/>
            <w10:wrap type="topAndBottom"/>
          </v:line>
        </w:pict>
      </w:r>
    </w:p>
    <w:p>
      <w:pPr>
        <w:spacing w:line="276" w:lineRule="auto" w:before="35"/>
        <w:ind w:left="219" w:right="212" w:firstLine="0"/>
        <w:jc w:val="both"/>
        <w:rPr>
          <w:sz w:val="20"/>
        </w:rPr>
      </w:pPr>
      <w:r>
        <w:rPr>
          <w:position w:val="10"/>
          <w:sz w:val="13"/>
        </w:rPr>
        <w:t>1 </w:t>
      </w:r>
      <w:r>
        <w:rPr>
          <w:sz w:val="20"/>
        </w:rPr>
        <w:t>Σημειώνεται ότι με το παρόν δεν καλύπτεται το θέμα που αφορά στα καθαρά έσοδα που παράγονται είτε κατά τη διάρκεια είτε μετά την ολοκλήρωση της Πράξης. Για το ζήτημα του υπολογισμού των καθαρών εσόδων, πρόθεση της Υπηρεσίας μας είναι να αποτυπωθούν και να προωθηθούν στους δικαιούχους αντίστοιχες οδηγίες. Στο μεταξύ, για το θέμα των καθαρών εσόδων, οι δικαιούχοι των ανωτέρω Δράσεων παραπέμπονται στις προβλέψεις της σχετικής Πρόσκλησης: ΠΑΡΑΡΤΗΜΑ Ι: ΥΠΟΧΡΕΩΣΕΙΣ ΔΙΚΑΙΟΥΧΩΝ ‐ §3. Χρηματοδότηση Πράξης.</w:t>
      </w:r>
    </w:p>
    <w:p>
      <w:pPr>
        <w:spacing w:after="0" w:line="276" w:lineRule="auto"/>
        <w:jc w:val="both"/>
        <w:rPr>
          <w:sz w:val="20"/>
        </w:rPr>
        <w:sectPr>
          <w:footerReference w:type="default" r:id="rId5"/>
          <w:type w:val="continuous"/>
          <w:pgSz w:w="11910" w:h="16840"/>
          <w:pgMar w:footer="959" w:top="1420" w:bottom="1140" w:left="1580" w:right="1580"/>
          <w:pgNumType w:start="1"/>
        </w:sectPr>
      </w:pPr>
    </w:p>
    <w:p>
      <w:pPr>
        <w:pStyle w:val="BodyText"/>
        <w:spacing w:line="268" w:lineRule="auto" w:before="30"/>
        <w:ind w:left="220" w:right="215" w:firstLine="709"/>
        <w:jc w:val="both"/>
      </w:pPr>
      <w:r>
        <w:rPr/>
        <w:t>Στην περίπτωση που ο ίδιος φορέας ασκεί δραστηριότητες οικονομικής και μη οικονομικής φύσης, προκειμένου η δημόσια χρηματοδότηση των μη οικονομικών δραστηριοτήτων να μην θεωρηθεί κρατική ενίσχυση, πρέπει τα δύο είδη δραστηριοτήτων, καθώς και οι δαπάνες, η χρηματοδότηση και τα έσοδά τους από παροχή υπηρεσιών ή πώληση αγαθών, να διαχωρίζονται σαφώς και με λογιστική παρακολούθηση. Η έλλειψη σαφούς διαχωρισμού καθιστά το σύνολο των δραστηριοτήτων του φορέα εντός του πεδίου εφαρμογής των κανόνων για τις κρατικές ενισχύσεις.</w:t>
      </w:r>
    </w:p>
    <w:p>
      <w:pPr>
        <w:pStyle w:val="BodyText"/>
        <w:spacing w:line="268" w:lineRule="auto" w:before="115"/>
        <w:ind w:left="220" w:right="214" w:firstLine="709"/>
        <w:jc w:val="both"/>
      </w:pPr>
      <w:r>
        <w:rPr/>
        <w:t>Επισημαίνεται ότι στην περίπτωση που οι πόροι ενός Ερευνητικού φορέα χρησιμοποιούνται τόσο για οικονομικές, όσο και για μη οικονομικές δραστηριότητες, η δημόσια χρηματοδότηση του φορέα είναι δυνατόν να εξαιρεθεί από το πεδίο εφαρμογής των κανόνων για τις κρατικές ενισχύσεις, εφόσον χρηματοδοτούνται δραστηριότητες που είναι αμιγώς επικουρικές μη οικονομικών δραστηριοτήτων. Η Επιτροπή θεωρεί ότι όντως πρόκειται για την ως άνω περίπτωση όταν</w:t>
      </w:r>
    </w:p>
    <w:p>
      <w:pPr>
        <w:pStyle w:val="ListParagraph"/>
        <w:numPr>
          <w:ilvl w:val="0"/>
          <w:numId w:val="1"/>
        </w:numPr>
        <w:tabs>
          <w:tab w:pos="930" w:val="left" w:leader="none"/>
        </w:tabs>
        <w:spacing w:line="264" w:lineRule="exact" w:before="0" w:after="0"/>
        <w:ind w:left="929" w:right="0" w:hanging="283"/>
        <w:jc w:val="left"/>
        <w:rPr>
          <w:sz w:val="22"/>
        </w:rPr>
      </w:pPr>
      <w:r>
        <w:rPr>
          <w:sz w:val="22"/>
        </w:rPr>
        <w:t>οι</w:t>
      </w:r>
      <w:r>
        <w:rPr>
          <w:spacing w:val="15"/>
          <w:sz w:val="22"/>
        </w:rPr>
        <w:t> </w:t>
      </w:r>
      <w:r>
        <w:rPr>
          <w:sz w:val="22"/>
        </w:rPr>
        <w:t>οικονομικές</w:t>
      </w:r>
      <w:r>
        <w:rPr>
          <w:spacing w:val="15"/>
          <w:sz w:val="22"/>
        </w:rPr>
        <w:t> </w:t>
      </w:r>
      <w:r>
        <w:rPr>
          <w:sz w:val="22"/>
        </w:rPr>
        <w:t>δραστηριότητες</w:t>
      </w:r>
      <w:r>
        <w:rPr>
          <w:spacing w:val="15"/>
          <w:sz w:val="22"/>
        </w:rPr>
        <w:t> </w:t>
      </w:r>
      <w:r>
        <w:rPr>
          <w:sz w:val="22"/>
        </w:rPr>
        <w:t>καταναλίσκουν</w:t>
      </w:r>
      <w:r>
        <w:rPr>
          <w:spacing w:val="15"/>
          <w:sz w:val="22"/>
        </w:rPr>
        <w:t> </w:t>
      </w:r>
      <w:r>
        <w:rPr>
          <w:b/>
          <w:sz w:val="22"/>
        </w:rPr>
        <w:t>ακριβώς</w:t>
      </w:r>
      <w:r>
        <w:rPr>
          <w:b/>
          <w:spacing w:val="15"/>
          <w:sz w:val="22"/>
        </w:rPr>
        <w:t> </w:t>
      </w:r>
      <w:r>
        <w:rPr>
          <w:b/>
          <w:sz w:val="22"/>
        </w:rPr>
        <w:t>τους</w:t>
      </w:r>
      <w:r>
        <w:rPr>
          <w:b/>
          <w:spacing w:val="15"/>
          <w:sz w:val="22"/>
        </w:rPr>
        <w:t> </w:t>
      </w:r>
      <w:r>
        <w:rPr>
          <w:b/>
          <w:sz w:val="22"/>
        </w:rPr>
        <w:t>ίδιους</w:t>
      </w:r>
      <w:r>
        <w:rPr>
          <w:b/>
          <w:spacing w:val="15"/>
          <w:sz w:val="22"/>
        </w:rPr>
        <w:t> </w:t>
      </w:r>
      <w:r>
        <w:rPr>
          <w:b/>
          <w:sz w:val="22"/>
        </w:rPr>
        <w:t>πόρους</w:t>
      </w:r>
      <w:r>
        <w:rPr>
          <w:b/>
          <w:spacing w:val="16"/>
          <w:sz w:val="22"/>
        </w:rPr>
        <w:t> </w:t>
      </w:r>
      <w:r>
        <w:rPr>
          <w:sz w:val="22"/>
        </w:rPr>
        <w:t>με</w:t>
      </w:r>
      <w:r>
        <w:rPr>
          <w:spacing w:val="15"/>
          <w:sz w:val="22"/>
        </w:rPr>
        <w:t> </w:t>
      </w:r>
      <w:r>
        <w:rPr>
          <w:sz w:val="22"/>
        </w:rPr>
        <w:t>τις</w:t>
      </w:r>
    </w:p>
    <w:p>
      <w:pPr>
        <w:pStyle w:val="BodyText"/>
        <w:spacing w:before="31"/>
        <w:ind w:left="929"/>
      </w:pPr>
      <w:r>
        <w:rPr/>
        <w:t>μη οικονομικές δραστηριότητες και</w:t>
      </w:r>
    </w:p>
    <w:p>
      <w:pPr>
        <w:pStyle w:val="ListParagraph"/>
        <w:numPr>
          <w:ilvl w:val="0"/>
          <w:numId w:val="1"/>
        </w:numPr>
        <w:tabs>
          <w:tab w:pos="930" w:val="left" w:leader="none"/>
        </w:tabs>
        <w:spacing w:line="266" w:lineRule="auto" w:before="20" w:after="0"/>
        <w:ind w:left="929" w:right="215" w:hanging="283"/>
        <w:jc w:val="both"/>
        <w:rPr>
          <w:sz w:val="22"/>
        </w:rPr>
      </w:pPr>
      <w:r>
        <w:rPr>
          <w:sz w:val="22"/>
        </w:rPr>
        <w:t>η δυναμικότητα που διατίθεται κάθε έτος για τέτοιου είδους οικονομικές δραστηριότητες δεν υπερβαίνει το 20% της συνολικής ετήσιας δυναμικότητας του φορέα</w:t>
      </w:r>
    </w:p>
    <w:p>
      <w:pPr>
        <w:pStyle w:val="BodyText"/>
        <w:spacing w:line="268" w:lineRule="auto" w:before="126"/>
        <w:ind w:left="219" w:right="216" w:firstLine="709"/>
        <w:jc w:val="both"/>
      </w:pPr>
      <w:r>
        <w:rPr/>
        <w:t>Ο χαρακτηρισμός μίας δραστηριότητας ως «</w:t>
      </w:r>
      <w:r>
        <w:rPr>
          <w:i/>
        </w:rPr>
        <w:t>μη οικονομική</w:t>
      </w:r>
      <w:r>
        <w:rPr/>
        <w:t>» που έχει αποδοθεί με βάση την ανωτέρω πρόβλεψη, μεταβάλλεται σε «</w:t>
      </w:r>
      <w:r>
        <w:rPr>
          <w:i/>
        </w:rPr>
        <w:t>οικονομική</w:t>
      </w:r>
      <w:r>
        <w:rPr/>
        <w:t>», εφόσον σε κάποιο από τα έτη της περιόδου χρηματοδότησης</w:t>
      </w:r>
      <w:r>
        <w:rPr>
          <w:vertAlign w:val="superscript"/>
        </w:rPr>
        <w:t>2</w:t>
      </w:r>
      <w:r>
        <w:rPr>
          <w:vertAlign w:val="baseline"/>
        </w:rPr>
        <w:t> διαπιστωθεί ότι υφίσταται υπέρβαση του 20% της συνολικής ετήσιας δυναμικότητας του φορέα.</w:t>
      </w:r>
    </w:p>
    <w:p>
      <w:pPr>
        <w:pStyle w:val="BodyText"/>
      </w:pPr>
    </w:p>
    <w:p>
      <w:pPr>
        <w:pStyle w:val="BodyText"/>
      </w:pPr>
    </w:p>
    <w:p>
      <w:pPr>
        <w:pStyle w:val="BodyText"/>
      </w:pPr>
    </w:p>
    <w:p>
      <w:pPr>
        <w:pStyle w:val="Heading1"/>
        <w:spacing w:before="151"/>
      </w:pPr>
      <w:r>
        <w:rPr/>
        <w:t>ΚΑΤΗΓΟΡΙΟΠΟΙΗΣΗ ΔΡΑΣΤΗΡΙΟΤΗΤΩΝ ΕΡΕΥΝΗΤΙΚΩΝ ΦΟΡΕΩΝ</w:t>
      </w:r>
    </w:p>
    <w:p>
      <w:pPr>
        <w:pStyle w:val="BodyText"/>
        <w:spacing w:line="268" w:lineRule="auto" w:before="31"/>
        <w:ind w:left="219" w:firstLine="709"/>
      </w:pPr>
      <w:r>
        <w:rPr/>
        <w:t>Με βάση το κανονιστικό πλαίσιο που ισχύει για το χαρακτηρισμό της δημόσιας χρηματοδότησης ως «</w:t>
      </w:r>
      <w:r>
        <w:rPr>
          <w:i/>
        </w:rPr>
        <w:t>κρατική ενίσχυση</w:t>
      </w:r>
      <w:r>
        <w:rPr/>
        <w:t>», οι δραστηριότητες των Ερευνητικών Οργανισμών</w:t>
      </w:r>
    </w:p>
    <w:p>
      <w:pPr>
        <w:pStyle w:val="ListParagraph"/>
        <w:numPr>
          <w:ilvl w:val="0"/>
          <w:numId w:val="2"/>
        </w:numPr>
        <w:tabs>
          <w:tab w:pos="379" w:val="left" w:leader="none"/>
        </w:tabs>
        <w:spacing w:line="267" w:lineRule="exact" w:before="0" w:after="0"/>
        <w:ind w:left="378" w:right="0" w:hanging="159"/>
        <w:jc w:val="left"/>
        <w:rPr>
          <w:sz w:val="22"/>
        </w:rPr>
      </w:pPr>
      <w:r>
        <w:rPr>
          <w:sz w:val="22"/>
        </w:rPr>
        <w:t>Ερευνητικών Υποδομών κατατάσσονται στις ακόλουθες</w:t>
      </w:r>
      <w:r>
        <w:rPr>
          <w:spacing w:val="-6"/>
          <w:sz w:val="22"/>
        </w:rPr>
        <w:t> </w:t>
      </w:r>
      <w:r>
        <w:rPr>
          <w:sz w:val="22"/>
        </w:rPr>
        <w:t>κατηγορίες:</w:t>
      </w:r>
    </w:p>
    <w:p>
      <w:pPr>
        <w:pStyle w:val="BodyText"/>
        <w:spacing w:before="8"/>
        <w:rPr>
          <w:sz w:val="19"/>
        </w:rPr>
      </w:pPr>
    </w:p>
    <w:p>
      <w:pPr>
        <w:pStyle w:val="Heading1"/>
        <w:spacing w:before="1"/>
      </w:pPr>
      <w:r>
        <w:rPr/>
        <w:t>Μη Οικονομικές δραστηριότητες</w:t>
      </w:r>
    </w:p>
    <w:p>
      <w:pPr>
        <w:pStyle w:val="ListParagraph"/>
        <w:numPr>
          <w:ilvl w:val="1"/>
          <w:numId w:val="2"/>
        </w:numPr>
        <w:tabs>
          <w:tab w:pos="930" w:val="left" w:leader="none"/>
          <w:tab w:pos="2572" w:val="left" w:leader="none"/>
          <w:tab w:pos="3946" w:val="left" w:leader="none"/>
          <w:tab w:pos="4434" w:val="left" w:leader="none"/>
          <w:tab w:pos="4941" w:val="left" w:leader="none"/>
          <w:tab w:pos="6237" w:val="left" w:leader="none"/>
          <w:tab w:pos="7736" w:val="left" w:leader="none"/>
          <w:tab w:pos="8227" w:val="left" w:leader="none"/>
        </w:tabs>
        <w:spacing w:line="266" w:lineRule="auto" w:before="59" w:after="0"/>
        <w:ind w:left="929" w:right="217" w:hanging="284"/>
        <w:jc w:val="left"/>
        <w:rPr>
          <w:sz w:val="22"/>
        </w:rPr>
      </w:pPr>
      <w:r>
        <w:rPr>
          <w:sz w:val="22"/>
          <w:u w:val="single"/>
        </w:rPr>
        <w:t>δραστηριότητες</w:t>
        <w:tab/>
        <w:t>εκπαίδευσης</w:t>
      </w:r>
      <w:r>
        <w:rPr>
          <w:sz w:val="22"/>
        </w:rPr>
        <w:tab/>
        <w:t>για</w:t>
        <w:tab/>
        <w:t>την</w:t>
        <w:tab/>
        <w:t>εξασφάλιση</w:t>
        <w:tab/>
        <w:t>περισσότερων</w:t>
        <w:tab/>
        <w:t>και</w:t>
        <w:tab/>
      </w:r>
      <w:r>
        <w:rPr>
          <w:spacing w:val="-6"/>
          <w:sz w:val="22"/>
        </w:rPr>
        <w:t>πιο </w:t>
      </w:r>
      <w:r>
        <w:rPr>
          <w:sz w:val="22"/>
        </w:rPr>
        <w:t>ειδικευμένων ανθρώπινων</w:t>
      </w:r>
      <w:r>
        <w:rPr>
          <w:spacing w:val="-1"/>
          <w:sz w:val="22"/>
        </w:rPr>
        <w:t> </w:t>
      </w:r>
      <w:r>
        <w:rPr>
          <w:sz w:val="22"/>
        </w:rPr>
        <w:t>πόρων</w:t>
      </w:r>
    </w:p>
    <w:p>
      <w:pPr>
        <w:spacing w:before="4"/>
        <w:ind w:left="929" w:right="0" w:firstLine="0"/>
        <w:jc w:val="left"/>
        <w:rPr>
          <w:i/>
          <w:sz w:val="22"/>
        </w:rPr>
      </w:pPr>
      <w:r>
        <w:rPr>
          <w:sz w:val="22"/>
        </w:rPr>
        <w:t>Παράδειγμα: </w:t>
      </w:r>
      <w:r>
        <w:rPr>
          <w:i/>
          <w:sz w:val="22"/>
        </w:rPr>
        <w:t>δημόσια εκπαίδευση</w:t>
      </w:r>
    </w:p>
    <w:p>
      <w:pPr>
        <w:pStyle w:val="ListParagraph"/>
        <w:numPr>
          <w:ilvl w:val="1"/>
          <w:numId w:val="2"/>
        </w:numPr>
        <w:tabs>
          <w:tab w:pos="930" w:val="left" w:leader="none"/>
        </w:tabs>
        <w:spacing w:line="240" w:lineRule="auto" w:before="19" w:after="0"/>
        <w:ind w:left="929" w:right="0" w:hanging="283"/>
        <w:jc w:val="left"/>
        <w:rPr>
          <w:sz w:val="22"/>
        </w:rPr>
      </w:pPr>
      <w:r>
        <w:rPr>
          <w:sz w:val="22"/>
          <w:u w:val="single"/>
        </w:rPr>
        <w:t>ανεξάρτητη Ε&amp;Α</w:t>
      </w:r>
      <w:r>
        <w:rPr>
          <w:sz w:val="22"/>
        </w:rPr>
        <w:t> για περισσότερη γνώση και καλύτερη</w:t>
      </w:r>
      <w:r>
        <w:rPr>
          <w:spacing w:val="-6"/>
          <w:sz w:val="22"/>
        </w:rPr>
        <w:t> </w:t>
      </w:r>
      <w:r>
        <w:rPr>
          <w:sz w:val="22"/>
        </w:rPr>
        <w:t>κατανόηση</w:t>
      </w:r>
    </w:p>
    <w:p>
      <w:pPr>
        <w:spacing w:line="268" w:lineRule="auto" w:before="32"/>
        <w:ind w:left="929" w:right="216" w:firstLine="0"/>
        <w:jc w:val="both"/>
        <w:rPr>
          <w:i/>
          <w:sz w:val="22"/>
        </w:rPr>
      </w:pPr>
      <w:r>
        <w:rPr>
          <w:sz w:val="22"/>
        </w:rPr>
        <w:t>Παράδειγμα: </w:t>
      </w:r>
      <w:r>
        <w:rPr>
          <w:i/>
          <w:sz w:val="22"/>
        </w:rPr>
        <w:t>συνεργατική Ε&amp;Α (πραγματική συνεργασία) όπου τα συμμετέχοντα </w:t>
      </w:r>
      <w:r>
        <w:rPr>
          <w:i/>
          <w:sz w:val="22"/>
        </w:rPr>
        <w:t>μέρη καθορίζουν από κοινού το αντικείμενο της έρευνας και ενδεχόμενη συμμετοχή επιχείρησης δεν αλλοιώνει τους στόχους του φορέα</w:t>
      </w:r>
    </w:p>
    <w:p>
      <w:pPr>
        <w:pStyle w:val="ListParagraph"/>
        <w:numPr>
          <w:ilvl w:val="1"/>
          <w:numId w:val="2"/>
        </w:numPr>
        <w:tabs>
          <w:tab w:pos="930" w:val="left" w:leader="none"/>
        </w:tabs>
        <w:spacing w:line="266" w:lineRule="exact" w:before="0" w:after="0"/>
        <w:ind w:left="929" w:right="0" w:hanging="283"/>
        <w:jc w:val="left"/>
        <w:rPr>
          <w:sz w:val="22"/>
        </w:rPr>
      </w:pPr>
      <w:r>
        <w:rPr>
          <w:sz w:val="22"/>
          <w:u w:val="single"/>
        </w:rPr>
        <w:t>ευρεία</w:t>
      </w:r>
      <w:r>
        <w:rPr>
          <w:spacing w:val="41"/>
          <w:sz w:val="22"/>
          <w:u w:val="single"/>
        </w:rPr>
        <w:t> </w:t>
      </w:r>
      <w:r>
        <w:rPr>
          <w:sz w:val="22"/>
          <w:u w:val="single"/>
        </w:rPr>
        <w:t>διάχυση</w:t>
      </w:r>
      <w:r>
        <w:rPr>
          <w:spacing w:val="40"/>
          <w:sz w:val="22"/>
          <w:u w:val="single"/>
        </w:rPr>
        <w:t> </w:t>
      </w:r>
      <w:r>
        <w:rPr>
          <w:sz w:val="22"/>
          <w:u w:val="single"/>
        </w:rPr>
        <w:t>των</w:t>
      </w:r>
      <w:r>
        <w:rPr>
          <w:spacing w:val="42"/>
          <w:sz w:val="22"/>
          <w:u w:val="single"/>
        </w:rPr>
        <w:t> </w:t>
      </w:r>
      <w:r>
        <w:rPr>
          <w:sz w:val="22"/>
          <w:u w:val="single"/>
        </w:rPr>
        <w:t>ερευνητικών</w:t>
      </w:r>
      <w:r>
        <w:rPr>
          <w:spacing w:val="41"/>
          <w:sz w:val="22"/>
          <w:u w:val="single"/>
        </w:rPr>
        <w:t> </w:t>
      </w:r>
      <w:r>
        <w:rPr>
          <w:sz w:val="22"/>
          <w:u w:val="single"/>
        </w:rPr>
        <w:t>αποτελεσμάτων</w:t>
      </w:r>
      <w:r>
        <w:rPr>
          <w:spacing w:val="43"/>
          <w:sz w:val="22"/>
        </w:rPr>
        <w:t> </w:t>
      </w:r>
      <w:r>
        <w:rPr>
          <w:sz w:val="22"/>
        </w:rPr>
        <w:t>σε</w:t>
      </w:r>
      <w:r>
        <w:rPr>
          <w:spacing w:val="40"/>
          <w:sz w:val="22"/>
        </w:rPr>
        <w:t> </w:t>
      </w:r>
      <w:r>
        <w:rPr>
          <w:sz w:val="22"/>
        </w:rPr>
        <w:t>μη</w:t>
      </w:r>
      <w:r>
        <w:rPr>
          <w:spacing w:val="40"/>
          <w:sz w:val="22"/>
        </w:rPr>
        <w:t> </w:t>
      </w:r>
      <w:r>
        <w:rPr>
          <w:sz w:val="22"/>
        </w:rPr>
        <w:t>αποκλειστική</w:t>
      </w:r>
      <w:r>
        <w:rPr>
          <w:spacing w:val="42"/>
          <w:sz w:val="22"/>
        </w:rPr>
        <w:t> </w:t>
      </w:r>
      <w:r>
        <w:rPr>
          <w:sz w:val="22"/>
        </w:rPr>
        <w:t>και</w:t>
      </w:r>
      <w:r>
        <w:rPr>
          <w:spacing w:val="40"/>
          <w:sz w:val="22"/>
        </w:rPr>
        <w:t> </w:t>
      </w:r>
      <w:r>
        <w:rPr>
          <w:sz w:val="22"/>
        </w:rPr>
        <w:t>χωρίς</w:t>
      </w:r>
    </w:p>
    <w:p>
      <w:pPr>
        <w:pStyle w:val="BodyText"/>
        <w:spacing w:before="31"/>
        <w:ind w:left="929"/>
      </w:pPr>
      <w:r>
        <w:rPr/>
        <w:t>διακρίσεις βάση</w:t>
      </w:r>
    </w:p>
    <w:p>
      <w:pPr>
        <w:tabs>
          <w:tab w:pos="2361" w:val="left" w:leader="none"/>
          <w:tab w:pos="3714" w:val="left" w:leader="none"/>
          <w:tab w:pos="4578" w:val="left" w:leader="none"/>
          <w:tab w:pos="5900" w:val="left" w:leader="none"/>
          <w:tab w:pos="7378" w:val="left" w:leader="none"/>
        </w:tabs>
        <w:spacing w:line="268" w:lineRule="auto" w:before="32"/>
        <w:ind w:left="940" w:right="220" w:hanging="11"/>
        <w:jc w:val="left"/>
        <w:rPr>
          <w:i/>
          <w:sz w:val="22"/>
        </w:rPr>
      </w:pPr>
      <w:r>
        <w:rPr>
          <w:sz w:val="22"/>
        </w:rPr>
        <w:t>Παράδειγμα:</w:t>
        <w:tab/>
      </w:r>
      <w:r>
        <w:rPr>
          <w:i/>
          <w:sz w:val="22"/>
        </w:rPr>
        <w:t>διδασκαλία,</w:t>
        <w:tab/>
        <w:t>βάσεις</w:t>
        <w:tab/>
        <w:t>δεδομένων,</w:t>
        <w:tab/>
        <w:t>δημοσιεύσεις</w:t>
        <w:tab/>
      </w:r>
      <w:r>
        <w:rPr>
          <w:i/>
          <w:spacing w:val="-3"/>
          <w:sz w:val="22"/>
        </w:rPr>
        <w:t>ερευνητικών </w:t>
      </w:r>
      <w:r>
        <w:rPr>
          <w:i/>
          <w:sz w:val="22"/>
        </w:rPr>
        <w:t>αποτελεσμάτων, λογισμικό ανοικτής</w:t>
      </w:r>
      <w:r>
        <w:rPr>
          <w:i/>
          <w:spacing w:val="-4"/>
          <w:sz w:val="22"/>
        </w:rPr>
        <w:t> </w:t>
      </w:r>
      <w:r>
        <w:rPr>
          <w:i/>
          <w:sz w:val="22"/>
        </w:rPr>
        <w:t>πρόσβασης</w:t>
      </w:r>
    </w:p>
    <w:p>
      <w:pPr>
        <w:pStyle w:val="BodyText"/>
        <w:spacing w:before="2"/>
        <w:rPr>
          <w:i/>
          <w:sz w:val="13"/>
        </w:rPr>
      </w:pPr>
      <w:r>
        <w:rPr/>
        <w:pict>
          <v:line style="position:absolute;mso-position-horizontal-relative:page;mso-position-vertical-relative:paragraph;z-index:-1000;mso-wrap-distance-left:0;mso-wrap-distance-right:0" from="90pt,10.394244pt" to="234pt,10.394244pt" stroked="true" strokeweight=".72pt" strokecolor="#000000">
            <v:stroke dashstyle="solid"/>
            <w10:wrap type="topAndBottom"/>
          </v:line>
        </w:pict>
      </w:r>
    </w:p>
    <w:p>
      <w:pPr>
        <w:spacing w:line="276" w:lineRule="auto" w:before="35"/>
        <w:ind w:left="361" w:right="891" w:hanging="142"/>
        <w:jc w:val="left"/>
        <w:rPr>
          <w:sz w:val="20"/>
        </w:rPr>
      </w:pPr>
      <w:r>
        <w:rPr>
          <w:position w:val="10"/>
          <w:sz w:val="13"/>
        </w:rPr>
        <w:t>2 </w:t>
      </w:r>
      <w:r>
        <w:rPr>
          <w:sz w:val="20"/>
        </w:rPr>
        <w:t>ή της χρονικής διάρκειας της ωφέλιμης ζωής των πάγιων που αποκτήθηκαν μέσω της χρηματοδότησης</w:t>
      </w:r>
    </w:p>
    <w:p>
      <w:pPr>
        <w:spacing w:after="0" w:line="276" w:lineRule="auto"/>
        <w:jc w:val="left"/>
        <w:rPr>
          <w:sz w:val="20"/>
        </w:rPr>
        <w:sectPr>
          <w:pgSz w:w="11910" w:h="16840"/>
          <w:pgMar w:header="0" w:footer="959" w:top="1440" w:bottom="1140" w:left="1580" w:right="1580"/>
        </w:sectPr>
      </w:pPr>
    </w:p>
    <w:p>
      <w:pPr>
        <w:pStyle w:val="ListParagraph"/>
        <w:numPr>
          <w:ilvl w:val="1"/>
          <w:numId w:val="2"/>
        </w:numPr>
        <w:tabs>
          <w:tab w:pos="930" w:val="left" w:leader="none"/>
        </w:tabs>
        <w:spacing w:line="266" w:lineRule="auto" w:before="79" w:after="0"/>
        <w:ind w:left="929" w:right="215" w:hanging="284"/>
        <w:jc w:val="left"/>
        <w:rPr>
          <w:sz w:val="22"/>
        </w:rPr>
      </w:pPr>
      <w:r>
        <w:rPr>
          <w:sz w:val="22"/>
          <w:u w:val="single"/>
        </w:rPr>
        <w:t>δραστηριότητες μεταφοράς γνώσης</w:t>
      </w:r>
      <w:r>
        <w:rPr>
          <w:sz w:val="22"/>
        </w:rPr>
        <w:t>, όταν συντρέχουν αθροιστικά οι ακόλουθες προϋποθέσεις:</w:t>
      </w:r>
    </w:p>
    <w:p>
      <w:pPr>
        <w:pStyle w:val="ListParagraph"/>
        <w:numPr>
          <w:ilvl w:val="2"/>
          <w:numId w:val="2"/>
        </w:numPr>
        <w:tabs>
          <w:tab w:pos="1639" w:val="left" w:leader="none"/>
        </w:tabs>
        <w:spacing w:line="245" w:lineRule="exact" w:before="0" w:after="0"/>
        <w:ind w:left="1638" w:right="0" w:hanging="284"/>
        <w:jc w:val="left"/>
        <w:rPr>
          <w:sz w:val="22"/>
        </w:rPr>
      </w:pPr>
      <w:r>
        <w:rPr>
          <w:sz w:val="22"/>
        </w:rPr>
        <w:t>οι</w:t>
      </w:r>
      <w:r>
        <w:rPr>
          <w:spacing w:val="21"/>
          <w:sz w:val="22"/>
        </w:rPr>
        <w:t> </w:t>
      </w:r>
      <w:r>
        <w:rPr>
          <w:sz w:val="22"/>
        </w:rPr>
        <w:t>δραστηριότητες</w:t>
      </w:r>
      <w:r>
        <w:rPr>
          <w:spacing w:val="21"/>
          <w:sz w:val="22"/>
        </w:rPr>
        <w:t> </w:t>
      </w:r>
      <w:r>
        <w:rPr>
          <w:sz w:val="22"/>
        </w:rPr>
        <w:t>διενεργούνται</w:t>
      </w:r>
      <w:r>
        <w:rPr>
          <w:spacing w:val="21"/>
          <w:sz w:val="22"/>
        </w:rPr>
        <w:t> </w:t>
      </w:r>
      <w:r>
        <w:rPr>
          <w:sz w:val="22"/>
        </w:rPr>
        <w:t>είτε</w:t>
      </w:r>
      <w:r>
        <w:rPr>
          <w:spacing w:val="22"/>
          <w:sz w:val="22"/>
        </w:rPr>
        <w:t> </w:t>
      </w:r>
      <w:r>
        <w:rPr>
          <w:sz w:val="22"/>
        </w:rPr>
        <w:t>από</w:t>
      </w:r>
      <w:r>
        <w:rPr>
          <w:spacing w:val="22"/>
          <w:sz w:val="22"/>
        </w:rPr>
        <w:t> </w:t>
      </w:r>
      <w:r>
        <w:rPr>
          <w:sz w:val="22"/>
        </w:rPr>
        <w:t>τον</w:t>
      </w:r>
      <w:r>
        <w:rPr>
          <w:spacing w:val="21"/>
          <w:sz w:val="22"/>
        </w:rPr>
        <w:t> </w:t>
      </w:r>
      <w:r>
        <w:rPr>
          <w:sz w:val="22"/>
        </w:rPr>
        <w:t>ερευνητικό</w:t>
      </w:r>
      <w:r>
        <w:rPr>
          <w:spacing w:val="21"/>
          <w:sz w:val="22"/>
        </w:rPr>
        <w:t> </w:t>
      </w:r>
      <w:r>
        <w:rPr>
          <w:sz w:val="22"/>
        </w:rPr>
        <w:t>φορέα</w:t>
      </w:r>
      <w:r>
        <w:rPr>
          <w:spacing w:val="21"/>
          <w:sz w:val="22"/>
        </w:rPr>
        <w:t> </w:t>
      </w:r>
      <w:r>
        <w:rPr>
          <w:sz w:val="22"/>
        </w:rPr>
        <w:t>είτε</w:t>
      </w:r>
      <w:r>
        <w:rPr>
          <w:spacing w:val="21"/>
          <w:sz w:val="22"/>
        </w:rPr>
        <w:t> </w:t>
      </w:r>
      <w:r>
        <w:rPr>
          <w:sz w:val="22"/>
        </w:rPr>
        <w:t>από</w:t>
      </w:r>
    </w:p>
    <w:p>
      <w:pPr>
        <w:pStyle w:val="BodyText"/>
        <w:spacing w:line="265" w:lineRule="exact"/>
        <w:ind w:left="1638"/>
      </w:pPr>
      <w:r>
        <w:rPr/>
        <w:t>κοινού με άλλους τέτοιους φορείς (όχι επιχειρήσεις)</w:t>
      </w:r>
    </w:p>
    <w:p>
      <w:pPr>
        <w:pStyle w:val="ListParagraph"/>
        <w:numPr>
          <w:ilvl w:val="2"/>
          <w:numId w:val="2"/>
        </w:numPr>
        <w:tabs>
          <w:tab w:pos="1639" w:val="left" w:leader="none"/>
        </w:tabs>
        <w:spacing w:line="232" w:lineRule="auto" w:before="6" w:after="0"/>
        <w:ind w:left="1638" w:right="215" w:hanging="284"/>
        <w:jc w:val="left"/>
        <w:rPr>
          <w:sz w:val="22"/>
        </w:rPr>
      </w:pPr>
      <w:r>
        <w:rPr>
          <w:sz w:val="22"/>
        </w:rPr>
        <w:t>το σύνολο των κερδών από τις δραστηριότητες αυτές επανεπενδύεται στις κύριες δραστηριότητες του ερευνητικού</w:t>
      </w:r>
      <w:r>
        <w:rPr>
          <w:spacing w:val="-6"/>
          <w:sz w:val="22"/>
        </w:rPr>
        <w:t> </w:t>
      </w:r>
      <w:r>
        <w:rPr>
          <w:sz w:val="22"/>
        </w:rPr>
        <w:t>φορέα</w:t>
      </w:r>
    </w:p>
    <w:p>
      <w:pPr>
        <w:spacing w:line="268" w:lineRule="auto" w:before="33"/>
        <w:ind w:left="939" w:right="216" w:hanging="11"/>
        <w:jc w:val="both"/>
        <w:rPr>
          <w:i/>
          <w:sz w:val="22"/>
        </w:rPr>
      </w:pPr>
      <w:r>
        <w:rPr>
          <w:sz w:val="22"/>
        </w:rPr>
        <w:t>Παράδειγμα: </w:t>
      </w:r>
      <w:r>
        <w:rPr>
          <w:i/>
          <w:sz w:val="22"/>
        </w:rPr>
        <w:t>άδεια εκμετάλλευσης δικαιωμάτων πνευματικής ιδιοκτησίας (IPR </w:t>
      </w:r>
      <w:r>
        <w:rPr>
          <w:i/>
          <w:sz w:val="22"/>
        </w:rPr>
        <w:t>lisencing), δημιουργία τεχνοβλαστού (spin‐off), κινητικότητα ερευνητικού προσωπικού, επιστημονικές εκδόσεις, εφόσον τα κέρδη από τις εν λόγω δραστηριότητες επανεπενδύονται στις μη οικονομικές κύριες δραστηριότητες του οργανισμού π.χ. στη διδασκαλία.</w:t>
      </w:r>
    </w:p>
    <w:p>
      <w:pPr>
        <w:pStyle w:val="BodyText"/>
        <w:spacing w:before="10"/>
        <w:rPr>
          <w:i/>
          <w:sz w:val="16"/>
        </w:rPr>
      </w:pPr>
    </w:p>
    <w:p>
      <w:pPr>
        <w:pStyle w:val="Heading1"/>
      </w:pPr>
      <w:r>
        <w:rPr/>
        <w:t>Οικονομικές δραστηριότητες</w:t>
      </w:r>
    </w:p>
    <w:p>
      <w:pPr>
        <w:pStyle w:val="ListParagraph"/>
        <w:numPr>
          <w:ilvl w:val="1"/>
          <w:numId w:val="2"/>
        </w:numPr>
        <w:tabs>
          <w:tab w:pos="930" w:val="left" w:leader="none"/>
        </w:tabs>
        <w:spacing w:line="266" w:lineRule="auto" w:before="60" w:after="0"/>
        <w:ind w:left="929" w:right="217" w:hanging="284"/>
        <w:jc w:val="left"/>
        <w:rPr>
          <w:sz w:val="22"/>
        </w:rPr>
      </w:pPr>
      <w:r>
        <w:rPr>
          <w:sz w:val="22"/>
        </w:rPr>
        <w:t>δραστηριότητες που αφορούν στην </w:t>
      </w:r>
      <w:r>
        <w:rPr>
          <w:sz w:val="22"/>
          <w:u w:val="single"/>
        </w:rPr>
        <w:t>προσφορά προϊόντων ή υπηρεσιών</w:t>
      </w:r>
      <w:r>
        <w:rPr>
          <w:sz w:val="22"/>
        </w:rPr>
        <w:t> σε δεδομένη αγορά,</w:t>
      </w:r>
      <w:r>
        <w:rPr>
          <w:spacing w:val="-2"/>
          <w:sz w:val="22"/>
        </w:rPr>
        <w:t> </w:t>
      </w:r>
      <w:r>
        <w:rPr>
          <w:sz w:val="22"/>
        </w:rPr>
        <w:t>όπως</w:t>
      </w:r>
    </w:p>
    <w:p>
      <w:pPr>
        <w:pStyle w:val="ListParagraph"/>
        <w:numPr>
          <w:ilvl w:val="2"/>
          <w:numId w:val="2"/>
        </w:numPr>
        <w:tabs>
          <w:tab w:pos="1639" w:val="left" w:leader="none"/>
        </w:tabs>
        <w:spacing w:line="244" w:lineRule="exact" w:before="0" w:after="0"/>
        <w:ind w:left="1638" w:right="0" w:hanging="284"/>
        <w:jc w:val="left"/>
        <w:rPr>
          <w:i/>
          <w:sz w:val="22"/>
        </w:rPr>
      </w:pPr>
      <w:r>
        <w:rPr>
          <w:i/>
          <w:sz w:val="22"/>
        </w:rPr>
        <w:t>ενοικίαση εξοπλισμού ή εργαστηρίων σε</w:t>
      </w:r>
      <w:r>
        <w:rPr>
          <w:i/>
          <w:spacing w:val="-4"/>
          <w:sz w:val="22"/>
        </w:rPr>
        <w:t> </w:t>
      </w:r>
      <w:r>
        <w:rPr>
          <w:i/>
          <w:sz w:val="22"/>
        </w:rPr>
        <w:t>επιχειρήσεις</w:t>
      </w:r>
    </w:p>
    <w:p>
      <w:pPr>
        <w:pStyle w:val="ListParagraph"/>
        <w:numPr>
          <w:ilvl w:val="2"/>
          <w:numId w:val="2"/>
        </w:numPr>
        <w:tabs>
          <w:tab w:pos="1639" w:val="left" w:leader="none"/>
        </w:tabs>
        <w:spacing w:line="268" w:lineRule="exact" w:before="0" w:after="0"/>
        <w:ind w:left="1638" w:right="0" w:hanging="284"/>
        <w:jc w:val="left"/>
        <w:rPr>
          <w:i/>
          <w:sz w:val="22"/>
        </w:rPr>
      </w:pPr>
      <w:r>
        <w:rPr>
          <w:i/>
          <w:sz w:val="22"/>
        </w:rPr>
        <w:t>παροχή υπηρεσιών σε</w:t>
      </w:r>
      <w:r>
        <w:rPr>
          <w:i/>
          <w:spacing w:val="-3"/>
          <w:sz w:val="22"/>
        </w:rPr>
        <w:t> </w:t>
      </w:r>
      <w:r>
        <w:rPr>
          <w:i/>
          <w:sz w:val="22"/>
        </w:rPr>
        <w:t>επιχειρήσεις</w:t>
      </w:r>
    </w:p>
    <w:p>
      <w:pPr>
        <w:pStyle w:val="ListParagraph"/>
        <w:numPr>
          <w:ilvl w:val="2"/>
          <w:numId w:val="2"/>
        </w:numPr>
        <w:tabs>
          <w:tab w:pos="1639" w:val="left" w:leader="none"/>
        </w:tabs>
        <w:spacing w:line="272" w:lineRule="exact" w:before="0" w:after="0"/>
        <w:ind w:left="1638" w:right="0" w:hanging="284"/>
        <w:jc w:val="left"/>
        <w:rPr>
          <w:i/>
          <w:sz w:val="22"/>
        </w:rPr>
      </w:pPr>
      <w:r>
        <w:rPr>
          <w:i/>
          <w:sz w:val="22"/>
        </w:rPr>
        <w:t>εκτέλεση ερευνητικών</w:t>
      </w:r>
      <w:r>
        <w:rPr>
          <w:i/>
          <w:spacing w:val="-2"/>
          <w:sz w:val="22"/>
        </w:rPr>
        <w:t> </w:t>
      </w:r>
      <w:r>
        <w:rPr>
          <w:i/>
          <w:sz w:val="22"/>
        </w:rPr>
        <w:t>συμβάσεων</w:t>
      </w:r>
    </w:p>
    <w:p>
      <w:pPr>
        <w:pStyle w:val="ListParagraph"/>
        <w:numPr>
          <w:ilvl w:val="1"/>
          <w:numId w:val="2"/>
        </w:numPr>
        <w:tabs>
          <w:tab w:pos="930" w:val="left" w:leader="none"/>
        </w:tabs>
        <w:spacing w:line="266" w:lineRule="auto" w:before="13" w:after="0"/>
        <w:ind w:left="929" w:right="216" w:hanging="285"/>
        <w:jc w:val="left"/>
        <w:rPr>
          <w:sz w:val="22"/>
        </w:rPr>
      </w:pPr>
      <w:r>
        <w:rPr>
          <w:sz w:val="22"/>
          <w:u w:val="single"/>
        </w:rPr>
        <w:t>δραστηριότητες μεταφοράς γνώσης</w:t>
      </w:r>
      <w:r>
        <w:rPr>
          <w:sz w:val="22"/>
        </w:rPr>
        <w:t>, στις οποίες </w:t>
      </w:r>
      <w:r>
        <w:rPr>
          <w:sz w:val="22"/>
          <w:u w:val="single"/>
        </w:rPr>
        <w:t>τα κέρδη δεν  επανεπενδύονται</w:t>
      </w:r>
      <w:r>
        <w:rPr>
          <w:sz w:val="22"/>
        </w:rPr>
        <w:t> στις κύριες δραστηριότητες του ερευνητικού</w:t>
      </w:r>
      <w:r>
        <w:rPr>
          <w:spacing w:val="-4"/>
          <w:sz w:val="22"/>
        </w:rPr>
        <w:t> </w:t>
      </w:r>
      <w:r>
        <w:rPr>
          <w:sz w:val="22"/>
        </w:rPr>
        <w:t>φορέα</w:t>
      </w:r>
    </w:p>
    <w:p>
      <w:pPr>
        <w:pStyle w:val="BodyText"/>
        <w:rPr>
          <w:sz w:val="20"/>
        </w:rPr>
      </w:pPr>
    </w:p>
    <w:p>
      <w:pPr>
        <w:pStyle w:val="BodyText"/>
        <w:spacing w:line="268" w:lineRule="auto"/>
        <w:ind w:left="220" w:right="213" w:firstLine="709"/>
        <w:jc w:val="both"/>
      </w:pPr>
      <w:r>
        <w:rPr/>
        <w:t>Διευκρινίζεται ότι ως βασικό κριτήριο εξέτασης της ύπαρξης κρατικής ενίσχυσης παραμένει αυτή καθαυτή η χρηματοδοτούμενη δραστηριότητα. Εφόσον η δραστηριότητα μπορεί να υπαχθεί στις μη οικονομικές δραστηριότητες, τότε η χρηματοδότησή της μπορεί να θεωρηθεί ότι δεν ενέχει στοιχεία κρατικής ενίσχυσης, ανεξάρτητα από τα συνολικά ποσοστά δραστηριοποίησης του φορέα σε οικονομικές και μη οικονομικές δραστηριότητες, τα οποία στην περίπτωση αυτή δεν εξετάζονται.</w:t>
      </w:r>
    </w:p>
    <w:p>
      <w:pPr>
        <w:pStyle w:val="BodyText"/>
      </w:pPr>
    </w:p>
    <w:p>
      <w:pPr>
        <w:pStyle w:val="BodyText"/>
      </w:pPr>
    </w:p>
    <w:p>
      <w:pPr>
        <w:pStyle w:val="BodyText"/>
      </w:pPr>
    </w:p>
    <w:p>
      <w:pPr>
        <w:pStyle w:val="Heading1"/>
        <w:spacing w:before="151"/>
      </w:pPr>
      <w:r>
        <w:rPr/>
        <w:t>ΑΝΤΙΚΕΙΜΕΝΟ ΕΛΕΓΧΟΥ</w:t>
      </w:r>
    </w:p>
    <w:p>
      <w:pPr>
        <w:pStyle w:val="BodyText"/>
        <w:spacing w:line="268" w:lineRule="auto" w:before="31"/>
        <w:ind w:left="219" w:right="215" w:firstLine="709"/>
        <w:jc w:val="both"/>
      </w:pPr>
      <w:r>
        <w:rPr/>
        <w:t>Στο πλαίσιο των εξεταζόμενων προσκλήσεων, παρέχεται χρηματοδότηση σε Ερευνητικούς φορείς της χώρας με σκοπό την προώθηση των ακόλουθων μη οικονομικών δραστηριοτήτων</w:t>
      </w:r>
    </w:p>
    <w:p>
      <w:pPr>
        <w:pStyle w:val="ListParagraph"/>
        <w:numPr>
          <w:ilvl w:val="1"/>
          <w:numId w:val="2"/>
        </w:numPr>
        <w:tabs>
          <w:tab w:pos="930" w:val="left" w:leader="none"/>
        </w:tabs>
        <w:spacing w:line="266" w:lineRule="exact" w:before="0" w:after="0"/>
        <w:ind w:left="929" w:right="0" w:hanging="284"/>
        <w:jc w:val="left"/>
        <w:rPr>
          <w:sz w:val="22"/>
        </w:rPr>
      </w:pPr>
      <w:r>
        <w:rPr>
          <w:sz w:val="22"/>
        </w:rPr>
        <w:t>υλοποίηση έργων υψηλής ερευνητικής και επιστημονικής στάθμης για την</w:t>
      </w:r>
      <w:r>
        <w:rPr>
          <w:spacing w:val="-24"/>
          <w:sz w:val="22"/>
        </w:rPr>
        <w:t> </w:t>
      </w:r>
      <w:r>
        <w:rPr>
          <w:sz w:val="22"/>
        </w:rPr>
        <w:t>ενίσχυση</w:t>
      </w:r>
    </w:p>
    <w:p>
      <w:pPr>
        <w:pStyle w:val="BodyText"/>
        <w:spacing w:before="32"/>
        <w:ind w:left="929"/>
      </w:pPr>
      <w:r>
        <w:rPr/>
        <w:t>της έρευνας και την αξιοποίηση των αποτελεσμάτων που θα προέλθουν απ’ αυτήν</w:t>
      </w:r>
    </w:p>
    <w:p>
      <w:pPr>
        <w:pStyle w:val="BodyText"/>
        <w:spacing w:before="31"/>
        <w:ind w:left="929"/>
      </w:pPr>
      <w:r>
        <w:rPr/>
        <w:t>(Πρόσκληση 031)</w:t>
      </w:r>
    </w:p>
    <w:p>
      <w:pPr>
        <w:pStyle w:val="ListParagraph"/>
        <w:numPr>
          <w:ilvl w:val="1"/>
          <w:numId w:val="2"/>
        </w:numPr>
        <w:tabs>
          <w:tab w:pos="930" w:val="left" w:leader="none"/>
        </w:tabs>
        <w:spacing w:line="266" w:lineRule="auto" w:before="20" w:after="0"/>
        <w:ind w:left="929" w:right="217" w:hanging="284"/>
        <w:jc w:val="left"/>
        <w:rPr>
          <w:sz w:val="22"/>
        </w:rPr>
      </w:pPr>
      <w:r>
        <w:rPr>
          <w:sz w:val="22"/>
        </w:rPr>
        <w:t>εκτέλεση ερευνητικού έργου παράλληλα με δραστηριότητες δικτύωσης και ενίσχυσης της πρόσβασης (Προσκλήσεις 039 &amp;</w:t>
      </w:r>
      <w:r>
        <w:rPr>
          <w:spacing w:val="-3"/>
          <w:sz w:val="22"/>
        </w:rPr>
        <w:t> </w:t>
      </w:r>
      <w:r>
        <w:rPr>
          <w:sz w:val="22"/>
        </w:rPr>
        <w:t>088).</w:t>
      </w:r>
    </w:p>
    <w:p>
      <w:pPr>
        <w:pStyle w:val="BodyText"/>
        <w:spacing w:line="268" w:lineRule="auto" w:before="123"/>
        <w:ind w:left="219" w:right="216" w:firstLine="709"/>
        <w:jc w:val="both"/>
      </w:pPr>
      <w:r>
        <w:rPr/>
        <w:t>Όπως δηλώθηκε κατά τη διαδικασία ένταξης των Πράξεων, οι δικαιούχοι‐εταίροι είναι Ερευνητικοί / Τεχνολογικοί φορείς που ασκούν ως επί το πλείστον δραστηριότητες μη οικονομικής φύσης. Ως εκ τούτου η δημόσια χρηματοδότηση που χορηγείται στους φορείς των προσκλήσεων 031, 039 και 088 έχει χαρακτηριστεί ως «</w:t>
      </w:r>
      <w:r>
        <w:rPr>
          <w:i/>
        </w:rPr>
        <w:t>μη κρατική ενίσχυση</w:t>
      </w:r>
      <w:r>
        <w:rPr/>
        <w:t>».</w:t>
      </w:r>
    </w:p>
    <w:p>
      <w:pPr>
        <w:pStyle w:val="BodyText"/>
        <w:spacing w:line="268" w:lineRule="auto" w:before="117"/>
        <w:ind w:left="220" w:right="217" w:firstLine="709"/>
        <w:jc w:val="both"/>
      </w:pPr>
      <w:r>
        <w:rPr/>
        <w:t>Ωστόσο, οι δικαιούχοι‐εταίροι είναι υποχρεωτικό να παρακολουθούν την απασχόληση του προσωπικού και τη χρήση των πάγιων στοιχείων τους (π.χ. εγκαταστάσεις, εξοπλισμός, λογισμικό) που συγχρηματοδοτούνται στο πλαίσιο των εξεταζόμενων</w:t>
      </w:r>
    </w:p>
    <w:p>
      <w:pPr>
        <w:spacing w:after="0" w:line="268" w:lineRule="auto"/>
        <w:jc w:val="both"/>
        <w:sectPr>
          <w:pgSz w:w="11910" w:h="16840"/>
          <w:pgMar w:header="0" w:footer="959" w:top="1380" w:bottom="1140" w:left="1580" w:right="1580"/>
        </w:sectPr>
      </w:pPr>
    </w:p>
    <w:p>
      <w:pPr>
        <w:pStyle w:val="BodyText"/>
        <w:spacing w:line="268" w:lineRule="auto" w:before="30"/>
        <w:ind w:left="220" w:right="216"/>
        <w:jc w:val="both"/>
      </w:pPr>
      <w:r>
        <w:rPr/>
        <w:t>Προσκλήσεων. Εφόσον από την παρακολούθηση προκύψει ότι τέτοια πάγια στοιχεία και προσωπικό αξιοποιούνται για την εκτέλεση οικονομικών δραστηριοτήτων, οι εμπλεκόμενοι φορείς θα πρέπει να παρέχουν τεκμηρίωση αναφορικά με το ποσοστό της ετήσιας δυναμικότητάς τους, η οποία διατίθεται σε οικονομικές δραστηριότητες.</w:t>
      </w:r>
    </w:p>
    <w:p>
      <w:pPr>
        <w:pStyle w:val="BodyText"/>
        <w:spacing w:line="268" w:lineRule="auto" w:before="117"/>
        <w:ind w:left="220" w:right="215" w:firstLine="709"/>
        <w:jc w:val="both"/>
      </w:pPr>
      <w:r>
        <w:rPr/>
        <w:t>Με βάση τα παραπάνω, οι Ερευνητικοί φορείς θα πρέπει να εφαρμόζουν μέτρα παρακολούθησης των δραστηριοτήτων τους προκειμένου να είναι εφικτή η επιβεβαίωση του χαρακτηρισμού της δημόσιας χρηματοδότησης που έχουν λάβει ως μη κρατικής ενίσχυσης.</w:t>
      </w:r>
    </w:p>
    <w:p>
      <w:pPr>
        <w:pStyle w:val="BodyText"/>
      </w:pPr>
    </w:p>
    <w:p>
      <w:pPr>
        <w:pStyle w:val="BodyText"/>
      </w:pPr>
    </w:p>
    <w:p>
      <w:pPr>
        <w:pStyle w:val="Heading1"/>
      </w:pPr>
      <w:r>
        <w:rPr/>
        <w:t>ΔΙΑΚΡΙΤΗ ΟΙΚΟΝΟΜΙΚΗ ΟΝΤΟΤΗΤΑ</w:t>
      </w:r>
    </w:p>
    <w:p>
      <w:pPr>
        <w:pStyle w:val="BodyText"/>
        <w:spacing w:line="268" w:lineRule="auto" w:before="31"/>
        <w:ind w:left="220" w:right="215" w:firstLine="709"/>
        <w:jc w:val="both"/>
      </w:pPr>
      <w:r>
        <w:rPr/>
        <w:t>Μία από τις βασικές παραμέτρους του συστήματος παρακολούθησης αποτελεί ο εντοπισμός του επιπέδου αναφοράς, δηλαδή ο προσδιορισμός κάθε διακριτής οντότητας (relevant entity) του φορέα η οποία εκτελεί οικονομικές ή/και μη οικονομικές δραστηριότητες και μπορεί να αποτελέσει διακριτό κέντρο κόστους. Με τον όρο διακριτή οικονομική οντότητα νοείται κάθε οργανωτική μονάδα του φορέα η οποία μπορεί να εκτελέσει από μόνη της την εξεταζόμενη δραστηριότητα, με την οργανωτική δομή, τα πάγια στοιχεία, τα υλικά, τον εξοπλισμό και το ανθρώπινο δυναμικό που διαθέτει. Ο καθορισμός του επιπέδου αναφοράς γίνεται με όρους λειτουργικής αυτοτέλειας και δεν εξαρτάται από την ύπαρξη διακριτής νομικής οντότητας.</w:t>
      </w:r>
    </w:p>
    <w:p>
      <w:pPr>
        <w:pStyle w:val="BodyText"/>
        <w:spacing w:line="276" w:lineRule="auto" w:before="82"/>
        <w:ind w:left="220" w:right="217" w:firstLine="758"/>
        <w:jc w:val="both"/>
      </w:pPr>
      <w:r>
        <w:rPr/>
        <w:t>Σε συμφωνία με όσα αναφέρθηκαν παραπάνω, και λόγω των περιορισμών που θέτει το ευρωπαϊκό κανονιστικό πλαίσιο, το μέγιστο αποδεκτό επίπεδο αναφοράς ορίζεται, ανάλογα με την κατηγορία του δικαιούχου, ως εξής:</w:t>
      </w:r>
    </w:p>
    <w:p>
      <w:pPr>
        <w:pStyle w:val="BodyText"/>
        <w:spacing w:before="6"/>
        <w:rPr>
          <w:sz w:val="16"/>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61"/>
        <w:gridCol w:w="4261"/>
      </w:tblGrid>
      <w:tr>
        <w:trPr>
          <w:trHeight w:val="367" w:hRule="atLeast"/>
        </w:trPr>
        <w:tc>
          <w:tcPr>
            <w:tcW w:w="4261" w:type="dxa"/>
            <w:shd w:val="clear" w:color="auto" w:fill="E0E0E0"/>
          </w:tcPr>
          <w:p>
            <w:pPr>
              <w:pStyle w:val="TableParagraph"/>
              <w:spacing w:before="59"/>
              <w:ind w:left="107"/>
              <w:rPr>
                <w:b/>
                <w:sz w:val="22"/>
              </w:rPr>
            </w:pPr>
            <w:r>
              <w:rPr>
                <w:b/>
                <w:sz w:val="22"/>
              </w:rPr>
              <w:t>ΚΑΤΗΓΟΡΙΑ ΔΙΚΑΙΟΥΧΟΥ</w:t>
            </w:r>
          </w:p>
        </w:tc>
        <w:tc>
          <w:tcPr>
            <w:tcW w:w="4261" w:type="dxa"/>
            <w:shd w:val="clear" w:color="auto" w:fill="E0E0E0"/>
          </w:tcPr>
          <w:p>
            <w:pPr>
              <w:pStyle w:val="TableParagraph"/>
              <w:spacing w:before="59"/>
              <w:ind w:left="108"/>
              <w:rPr>
                <w:b/>
                <w:sz w:val="22"/>
              </w:rPr>
            </w:pPr>
            <w:r>
              <w:rPr>
                <w:b/>
                <w:sz w:val="22"/>
              </w:rPr>
              <w:t>ΑΝΩΤΕΡΟ ΑΠΟΔΕΚΤΟ ΕΠΙΠΕΔΟ ΑΝΑΦΟΡΑΣ</w:t>
            </w:r>
          </w:p>
        </w:tc>
      </w:tr>
      <w:tr>
        <w:trPr>
          <w:trHeight w:val="369" w:hRule="atLeast"/>
        </w:trPr>
        <w:tc>
          <w:tcPr>
            <w:tcW w:w="4261" w:type="dxa"/>
          </w:tcPr>
          <w:p>
            <w:pPr>
              <w:pStyle w:val="TableParagraph"/>
              <w:spacing w:before="60"/>
              <w:ind w:left="107"/>
              <w:rPr>
                <w:sz w:val="22"/>
              </w:rPr>
            </w:pPr>
            <w:r>
              <w:rPr>
                <w:sz w:val="22"/>
              </w:rPr>
              <w:t>Ερευνητικά Κέντρα</w:t>
            </w:r>
          </w:p>
        </w:tc>
        <w:tc>
          <w:tcPr>
            <w:tcW w:w="4261" w:type="dxa"/>
          </w:tcPr>
          <w:p>
            <w:pPr>
              <w:pStyle w:val="TableParagraph"/>
              <w:spacing w:before="60"/>
              <w:ind w:left="109"/>
              <w:rPr>
                <w:sz w:val="22"/>
              </w:rPr>
            </w:pPr>
            <w:r>
              <w:rPr>
                <w:sz w:val="22"/>
              </w:rPr>
              <w:t>Ερευνητικό Ινστιτούτο</w:t>
            </w:r>
          </w:p>
        </w:tc>
      </w:tr>
      <w:tr>
        <w:trPr>
          <w:trHeight w:val="369" w:hRule="atLeast"/>
        </w:trPr>
        <w:tc>
          <w:tcPr>
            <w:tcW w:w="4261" w:type="dxa"/>
          </w:tcPr>
          <w:p>
            <w:pPr>
              <w:pStyle w:val="TableParagraph"/>
              <w:spacing w:line="259" w:lineRule="exact" w:before="90"/>
              <w:ind w:left="107"/>
              <w:rPr>
                <w:sz w:val="22"/>
              </w:rPr>
            </w:pPr>
            <w:r>
              <w:rPr>
                <w:sz w:val="22"/>
              </w:rPr>
              <w:t>Ακαδημαϊκό Ίδρυμα (ΑΕΙ, ΤΕΙ)</w:t>
            </w:r>
          </w:p>
        </w:tc>
        <w:tc>
          <w:tcPr>
            <w:tcW w:w="4261" w:type="dxa"/>
          </w:tcPr>
          <w:p>
            <w:pPr>
              <w:pStyle w:val="TableParagraph"/>
              <w:spacing w:before="59"/>
              <w:ind w:left="107"/>
              <w:rPr>
                <w:sz w:val="22"/>
              </w:rPr>
            </w:pPr>
            <w:r>
              <w:rPr>
                <w:sz w:val="22"/>
              </w:rPr>
              <w:t>Τμήμα / Πανεπιστημιακό Ινστιτούτο</w:t>
            </w:r>
          </w:p>
        </w:tc>
      </w:tr>
      <w:tr>
        <w:trPr>
          <w:trHeight w:val="369" w:hRule="atLeast"/>
        </w:trPr>
        <w:tc>
          <w:tcPr>
            <w:tcW w:w="4261" w:type="dxa"/>
          </w:tcPr>
          <w:p>
            <w:pPr>
              <w:pStyle w:val="TableParagraph"/>
              <w:spacing w:before="59"/>
              <w:ind w:left="107"/>
              <w:rPr>
                <w:sz w:val="22"/>
              </w:rPr>
            </w:pPr>
            <w:r>
              <w:rPr>
                <w:sz w:val="22"/>
              </w:rPr>
              <w:t>Άλλος τύπος φορέα</w:t>
            </w:r>
          </w:p>
        </w:tc>
        <w:tc>
          <w:tcPr>
            <w:tcW w:w="4261" w:type="dxa"/>
          </w:tcPr>
          <w:p>
            <w:pPr>
              <w:pStyle w:val="TableParagraph"/>
              <w:spacing w:before="59"/>
              <w:ind w:left="107"/>
              <w:rPr>
                <w:sz w:val="22"/>
              </w:rPr>
            </w:pPr>
            <w:r>
              <w:rPr>
                <w:sz w:val="22"/>
              </w:rPr>
              <w:t>Κατά περίπτωση</w:t>
            </w:r>
          </w:p>
        </w:tc>
      </w:tr>
    </w:tbl>
    <w:p>
      <w:pPr>
        <w:pStyle w:val="BodyText"/>
        <w:spacing w:before="7"/>
        <w:rPr>
          <w:sz w:val="19"/>
        </w:rPr>
      </w:pPr>
    </w:p>
    <w:p>
      <w:pPr>
        <w:pStyle w:val="BodyText"/>
        <w:spacing w:line="276" w:lineRule="auto"/>
        <w:ind w:left="219" w:right="216" w:firstLine="709"/>
        <w:jc w:val="both"/>
      </w:pPr>
      <w:r>
        <w:rPr/>
        <w:t>Εφόσον τεκμηριώνεται η λειτουργική αυτοτέλεια μικρότερων οντοτήτων (π.χ. Τομέας, Εργαστήριο), είναι δυνατή η εφαρμογή χαμηλότερου επιπέδου αναφοράς, για το οποίο οι δικαιούχοι θα έχουν αναπτύξει κατάλληλο σύστημα λογιστικής παρακολούθησης, διαχωρισμού των οικονομικών και μη οικονομικών δραστηριοτήτων και επιμερισμού της δυναμικότητας.</w:t>
      </w:r>
    </w:p>
    <w:p>
      <w:pPr>
        <w:pStyle w:val="BodyText"/>
      </w:pPr>
    </w:p>
    <w:p>
      <w:pPr>
        <w:pStyle w:val="BodyText"/>
        <w:spacing w:before="4"/>
        <w:rPr>
          <w:sz w:val="31"/>
        </w:rPr>
      </w:pPr>
    </w:p>
    <w:p>
      <w:pPr>
        <w:pStyle w:val="Heading1"/>
      </w:pPr>
      <w:r>
        <w:rPr/>
        <w:t>ΥΠΟΧΡΕΩΣΕΙΣ ΔΙΚΑΙΟΥΧΩΝ</w:t>
      </w:r>
    </w:p>
    <w:p>
      <w:pPr>
        <w:pStyle w:val="BodyText"/>
        <w:spacing w:line="268" w:lineRule="auto" w:before="31"/>
        <w:ind w:left="220" w:right="218" w:firstLine="709"/>
        <w:jc w:val="both"/>
      </w:pPr>
      <w:r>
        <w:rPr/>
        <w:t>Σε συνέχεια όσων αναφέρθηκαν προηγουμένως, οι δικαιούχοι‐εταίροι των εξεταζόμενων προσκλήσεων, έχουν τις ακόλουθες υποχρεώσεις:</w:t>
      </w:r>
    </w:p>
    <w:p>
      <w:pPr>
        <w:pStyle w:val="ListParagraph"/>
        <w:numPr>
          <w:ilvl w:val="0"/>
          <w:numId w:val="3"/>
        </w:numPr>
        <w:tabs>
          <w:tab w:pos="505" w:val="left" w:leader="none"/>
        </w:tabs>
        <w:spacing w:line="240" w:lineRule="auto" w:before="119" w:after="0"/>
        <w:ind w:left="504" w:right="0" w:hanging="284"/>
        <w:jc w:val="left"/>
        <w:rPr>
          <w:sz w:val="22"/>
        </w:rPr>
      </w:pPr>
      <w:r>
        <w:rPr>
          <w:sz w:val="22"/>
          <w:u w:val="single"/>
        </w:rPr>
        <w:t>ΔΙΑΚΡΙΤΗ ΛΟΓΙΣΤΙΚΗ ΠΑΡΑΚΟΛΟΥΘΗΣΗ</w:t>
      </w:r>
    </w:p>
    <w:p>
      <w:pPr>
        <w:pStyle w:val="BodyText"/>
        <w:spacing w:line="268" w:lineRule="auto" w:before="151"/>
        <w:ind w:left="220" w:right="212"/>
        <w:jc w:val="both"/>
      </w:pPr>
      <w:r>
        <w:rPr/>
        <w:t>Η λογιστική παρακολούθηση των δραστηριοτήτων των φορέων πρέπει να γίνεται σύμφωνα με τις προβλέψεις της Σχετικής Οδηγίας της Ευρωπαϊκής Επιτροπής για τη διαφάνεια των χρηματοοικονομικών σχέσεων μεταξύ των κρατών μελών και των δημοσίων επιχειρήσεων</w:t>
      </w:r>
    </w:p>
    <w:p>
      <w:pPr>
        <w:spacing w:after="0" w:line="268" w:lineRule="auto"/>
        <w:jc w:val="both"/>
        <w:sectPr>
          <w:pgSz w:w="11910" w:h="16840"/>
          <w:pgMar w:header="0" w:footer="959" w:top="1440" w:bottom="1140" w:left="1580" w:right="1580"/>
        </w:sectPr>
      </w:pPr>
    </w:p>
    <w:p>
      <w:pPr>
        <w:pStyle w:val="BodyText"/>
        <w:spacing w:before="30"/>
        <w:ind w:left="220"/>
        <w:jc w:val="both"/>
      </w:pPr>
      <w:r>
        <w:rPr/>
        <w:t>καθώς και για τη χρηματοοικονομική διαφάνεια εντός ορισμένων επιχειρήσεων</w:t>
      </w:r>
    </w:p>
    <w:p>
      <w:pPr>
        <w:pStyle w:val="BodyText"/>
        <w:spacing w:before="32"/>
        <w:ind w:left="220"/>
        <w:jc w:val="both"/>
      </w:pPr>
      <w:r>
        <w:rPr/>
        <w:t>(2006/111/EΚ/16.11.2006).</w:t>
      </w:r>
    </w:p>
    <w:p>
      <w:pPr>
        <w:pStyle w:val="BodyText"/>
        <w:spacing w:line="268" w:lineRule="auto" w:before="151"/>
        <w:ind w:left="219" w:right="215"/>
        <w:jc w:val="both"/>
      </w:pPr>
      <w:r>
        <w:rPr/>
        <w:t>Για τη λογιστική παρακολούθηση των δραστηριοτήτων των φορέων της Γενικής Κυβέρνησης ισχύουν τα προβλεπόμενα στο Π.Δ. 54/2018, (ΦΕΚ 103/Α/13.06.2018). Μέχρι την έναρξη της εφαρμογής του συνόλου των διατάξεων του προαναφερόμενου Π.Δ., βρίσκονται σε ισχύ διατάξεις του Ν. 4270/2014 (ΦΕΚ/143/Α/28.06.2014), όπως τροποποιήθηκε με τον Ν.4569/2018 (ΦΕΚ 179/Α/ 11.10.2018 ‐ άρθρο 40,</w:t>
      </w:r>
      <w:r>
        <w:rPr>
          <w:spacing w:val="-4"/>
        </w:rPr>
        <w:t> </w:t>
      </w:r>
      <w:r>
        <w:rPr/>
        <w:t>§2).</w:t>
      </w:r>
    </w:p>
    <w:p>
      <w:pPr>
        <w:pStyle w:val="BodyText"/>
        <w:spacing w:line="268" w:lineRule="auto" w:before="116"/>
        <w:ind w:left="219" w:right="216"/>
        <w:jc w:val="both"/>
      </w:pPr>
      <w:r>
        <w:rPr/>
        <w:t>Συνοπτικά, απαιτείται διακριτή λογιστική παρακολούθηση των οικονομικών και μη οικονομικών δραστηριοτήτων των φορέων, με τήρηση διακριτών λογαριασμών όσον αφορά τον επιμερισμό του κόστους, τις πηγές χρηματοδότησης και τα παραγόμενα έσοδα από παροχή υπηρεσιών και πώληση αγαθών.</w:t>
      </w:r>
    </w:p>
    <w:p>
      <w:pPr>
        <w:pStyle w:val="BodyText"/>
        <w:spacing w:line="268" w:lineRule="auto" w:before="117"/>
        <w:ind w:left="219" w:right="216"/>
        <w:jc w:val="both"/>
      </w:pPr>
      <w:r>
        <w:rPr/>
        <w:t>Για τη διευκόλυνση της ελεγκτικής διαδικασίας, συστήνεται η τήρηση διπλογραφικού συστήματος με χρήση Ολοκληρωμένου Πληροφοριακού Συστήματος, με ιδιαίτερους λογαριασμούς ενεργητικού και παθητικού, εσόδων και εξόδων και επιμερισμό των δαπανών σε διακριτά κέντρα κόστους. Οι ελεγχόμενοι φορείς θα πρέπει να εφαρμόζουν σύστημα παρακολούθησης που επιτρέπει σαφή διαχωρισμό κατ’ ελάχιστον για κάθε διακριτή οικονομική οντότητα η οποία ασκεί οικονομική</w:t>
      </w:r>
      <w:r>
        <w:rPr>
          <w:spacing w:val="-12"/>
        </w:rPr>
        <w:t> </w:t>
      </w:r>
      <w:r>
        <w:rPr/>
        <w:t>δραστηριότητα.</w:t>
      </w:r>
    </w:p>
    <w:p>
      <w:pPr>
        <w:pStyle w:val="BodyText"/>
      </w:pPr>
    </w:p>
    <w:p>
      <w:pPr>
        <w:pStyle w:val="BodyText"/>
        <w:spacing w:before="10"/>
        <w:rPr>
          <w:sz w:val="21"/>
        </w:rPr>
      </w:pPr>
    </w:p>
    <w:p>
      <w:pPr>
        <w:pStyle w:val="ListParagraph"/>
        <w:numPr>
          <w:ilvl w:val="0"/>
          <w:numId w:val="3"/>
        </w:numPr>
        <w:tabs>
          <w:tab w:pos="505" w:val="left" w:leader="none"/>
        </w:tabs>
        <w:spacing w:line="240" w:lineRule="auto" w:before="0" w:after="0"/>
        <w:ind w:left="504" w:right="0" w:hanging="284"/>
        <w:jc w:val="both"/>
        <w:rPr>
          <w:sz w:val="22"/>
        </w:rPr>
      </w:pPr>
      <w:r>
        <w:rPr>
          <w:sz w:val="22"/>
          <w:u w:val="single"/>
        </w:rPr>
        <w:t>ΕΠΙΜΕΡΙΣΜΟΣ</w:t>
      </w:r>
      <w:r>
        <w:rPr>
          <w:spacing w:val="-2"/>
          <w:sz w:val="22"/>
          <w:u w:val="single"/>
        </w:rPr>
        <w:t> </w:t>
      </w:r>
      <w:r>
        <w:rPr>
          <w:sz w:val="22"/>
          <w:u w:val="single"/>
        </w:rPr>
        <w:t>ΔΥΝΑΜΙΚΟΤΗΤΑΣ</w:t>
      </w:r>
    </w:p>
    <w:p>
      <w:pPr>
        <w:pStyle w:val="BodyText"/>
        <w:spacing w:line="268" w:lineRule="auto" w:before="152"/>
        <w:ind w:left="220" w:right="214"/>
        <w:jc w:val="both"/>
      </w:pPr>
      <w:r>
        <w:rPr/>
        <w:pict>
          <v:line style="position:absolute;mso-position-horizontal-relative:page;mso-position-vertical-relative:paragraph;z-index:-23128" from="90pt,34.693939pt" to="357.3pt,34.693939pt" stroked="true" strokeweight=".72pt" strokecolor="#000000">
            <v:stroke dashstyle="solid"/>
            <w10:wrap type="none"/>
          </v:line>
        </w:pict>
      </w:r>
      <w:r>
        <w:rPr>
          <w:u w:val="single"/>
        </w:rPr>
        <w:t>Η παρούσα υποχρέωση ισχύει μόνο για τις διακριτές οικονομικές οντότητες που ασκούν</w:t>
      </w:r>
      <w:r>
        <w:rPr/>
        <w:t> τόσο οικονομικές όσο και μη οικονομικές δραστηριότητες </w:t>
      </w:r>
      <w:r>
        <w:rPr>
          <w:vertAlign w:val="superscript"/>
        </w:rPr>
        <w:t>3</w:t>
      </w:r>
      <w:r>
        <w:rPr>
          <w:vertAlign w:val="baseline"/>
        </w:rPr>
        <w:t>. Στην περίπτωση αυτή οι φορείς θα πρέπει να έχουν αναπτύξει και θέσει σε εφαρμογή σύστημα παρακολούθησης, έτσι ώστε να είναι εφικτός ο επιμερισμός της δυναμικότητάς τους σε οικονομικές και μη οικονομικές δραστηριότητες.</w:t>
      </w:r>
    </w:p>
    <w:p>
      <w:pPr>
        <w:pStyle w:val="BodyText"/>
        <w:spacing w:line="268" w:lineRule="auto" w:before="116"/>
        <w:ind w:left="220" w:right="214"/>
        <w:jc w:val="both"/>
      </w:pPr>
      <w:r>
        <w:rPr/>
        <w:t>Με βάση τις Οδηγίες της ΕΕ, τα οικονομικά στοιχεία των Ερευνητικών φορέων δεν μπορούν να αποτελέσουν στοιχείο τεκμηρίωσης του επιμερισμού της δυναμικότητάς τους. Γι’ αυτό  οι φορείς θα πρέπει να επιλέξουν από τους κοινούς, για τις δύο κατηγορίες δραστηριοτήτων, συντελεστές παραγωγής (π.χ. προσωπικό, πάγια στοιχεία), που αποδίδουν με τον πιο πιστό τρόπο το μέγεθος του παραγόμενου αποτελέσματος, και οι οποίοι θα αποτελέσουν το αντικείμενο της παρακολούθησης. Ο τρόπος παρακολούθησης της απασχόλησης του προσωπικού, της χρήσης των πάγιων στοιχείων ή άλλων δεικτών, δεν είναι αυστηρά καθορισμένος και παρέχεται η δυνατότητα στους δικαιούχους να επιλέξουν το καταλληλότερο για την περίπτωσή τους</w:t>
      </w:r>
      <w:r>
        <w:rPr>
          <w:spacing w:val="-4"/>
        </w:rPr>
        <w:t> </w:t>
      </w:r>
      <w:r>
        <w:rPr/>
        <w:t>σύστημα.</w:t>
      </w:r>
    </w:p>
    <w:p>
      <w:pPr>
        <w:pStyle w:val="BodyText"/>
        <w:spacing w:line="268" w:lineRule="auto" w:before="113"/>
        <w:ind w:left="220" w:right="214"/>
        <w:jc w:val="both"/>
      </w:pPr>
      <w:r>
        <w:rPr/>
        <w:t>Προκειμένου να ελέγχεται η αμιγώς επικουρική φύση των οικονομικών δραστηριοτήτων που αξιοποιούν συγχρηματοδοτούμενους πόρους, είναι δυνατόν να χρησιμοποιηθούν οι ακόλουθοι δείκτες</w:t>
      </w:r>
    </w:p>
    <w:p>
      <w:pPr>
        <w:pStyle w:val="ListParagraph"/>
        <w:numPr>
          <w:ilvl w:val="1"/>
          <w:numId w:val="3"/>
        </w:numPr>
        <w:tabs>
          <w:tab w:pos="930" w:val="left" w:leader="none"/>
        </w:tabs>
        <w:spacing w:line="266" w:lineRule="exact" w:before="0" w:after="0"/>
        <w:ind w:left="929" w:right="0" w:hanging="283"/>
        <w:jc w:val="left"/>
        <w:rPr>
          <w:sz w:val="22"/>
        </w:rPr>
      </w:pPr>
      <w:r>
        <w:rPr>
          <w:sz w:val="22"/>
        </w:rPr>
        <w:t>αριθμός ωρών απασχόλησης προσωπικού</w:t>
      </w:r>
      <w:r>
        <w:rPr>
          <w:spacing w:val="-4"/>
          <w:sz w:val="22"/>
        </w:rPr>
        <w:t> </w:t>
      </w:r>
      <w:r>
        <w:rPr>
          <w:sz w:val="22"/>
        </w:rPr>
        <w:t>(υποχρεωτικό)</w:t>
      </w:r>
    </w:p>
    <w:p>
      <w:pPr>
        <w:pStyle w:val="ListParagraph"/>
        <w:numPr>
          <w:ilvl w:val="1"/>
          <w:numId w:val="3"/>
        </w:numPr>
        <w:tabs>
          <w:tab w:pos="930" w:val="left" w:leader="none"/>
        </w:tabs>
        <w:spacing w:line="240" w:lineRule="auto" w:before="20" w:after="0"/>
        <w:ind w:left="929" w:right="0" w:hanging="283"/>
        <w:jc w:val="left"/>
        <w:rPr>
          <w:sz w:val="22"/>
        </w:rPr>
      </w:pPr>
      <w:r>
        <w:rPr>
          <w:sz w:val="22"/>
        </w:rPr>
        <w:t>αριθμός ωρών λειτουργίας εξοπλισμού</w:t>
      </w:r>
      <w:r>
        <w:rPr>
          <w:spacing w:val="-3"/>
          <w:sz w:val="22"/>
        </w:rPr>
        <w:t> </w:t>
      </w:r>
      <w:r>
        <w:rPr>
          <w:sz w:val="22"/>
        </w:rPr>
        <w:t>(προτείνεται)</w:t>
      </w:r>
    </w:p>
    <w:p>
      <w:pPr>
        <w:pStyle w:val="BodyText"/>
        <w:rPr>
          <w:sz w:val="20"/>
        </w:rPr>
      </w:pPr>
    </w:p>
    <w:p>
      <w:pPr>
        <w:pStyle w:val="BodyText"/>
        <w:spacing w:before="10"/>
        <w:rPr>
          <w:sz w:val="12"/>
        </w:rPr>
      </w:pPr>
      <w:r>
        <w:rPr/>
        <w:pict>
          <v:line style="position:absolute;mso-position-horizontal-relative:page;mso-position-vertical-relative:paragraph;z-index:-976;mso-wrap-distance-left:0;mso-wrap-distance-right:0" from="90pt,10.221574pt" to="234pt,10.221574pt" stroked="true" strokeweight=".72pt" strokecolor="#000000">
            <v:stroke dashstyle="solid"/>
            <w10:wrap type="topAndBottom"/>
          </v:line>
        </w:pict>
      </w:r>
    </w:p>
    <w:p>
      <w:pPr>
        <w:spacing w:line="276" w:lineRule="auto" w:before="35"/>
        <w:ind w:left="399" w:right="215" w:hanging="180"/>
        <w:jc w:val="both"/>
        <w:rPr>
          <w:sz w:val="20"/>
        </w:rPr>
      </w:pPr>
      <w:r>
        <w:rPr>
          <w:position w:val="10"/>
          <w:sz w:val="13"/>
        </w:rPr>
        <w:t>3 </w:t>
      </w:r>
      <w:r>
        <w:rPr>
          <w:sz w:val="20"/>
        </w:rPr>
        <w:t>Δεν ισχύει στην περίπτωση που ο φορέας δεν ασκεί οικονομικές δραστηριότητες ή οι οικονομικές δραστηριότητες ασκούνται από διακριτές οικονομικές οντότητες που δε συνδέονται με μη οικονομικές δραστηριότητες</w:t>
      </w:r>
    </w:p>
    <w:p>
      <w:pPr>
        <w:spacing w:after="0" w:line="276" w:lineRule="auto"/>
        <w:jc w:val="both"/>
        <w:rPr>
          <w:sz w:val="20"/>
        </w:rPr>
        <w:sectPr>
          <w:pgSz w:w="11910" w:h="16840"/>
          <w:pgMar w:header="0" w:footer="959" w:top="1440" w:bottom="1140" w:left="1580" w:right="1580"/>
        </w:sectPr>
      </w:pPr>
    </w:p>
    <w:p>
      <w:pPr>
        <w:pStyle w:val="ListParagraph"/>
        <w:numPr>
          <w:ilvl w:val="1"/>
          <w:numId w:val="3"/>
        </w:numPr>
        <w:tabs>
          <w:tab w:pos="930" w:val="left" w:leader="none"/>
        </w:tabs>
        <w:spacing w:line="240" w:lineRule="auto" w:before="79" w:after="0"/>
        <w:ind w:left="929" w:right="0" w:hanging="283"/>
        <w:jc w:val="left"/>
        <w:rPr>
          <w:sz w:val="22"/>
        </w:rPr>
      </w:pPr>
      <w:r>
        <w:rPr>
          <w:sz w:val="22"/>
        </w:rPr>
        <w:t>ποσότητα ενέργειας / πρώτων υλών που καταναλώθηκαν</w:t>
      </w:r>
      <w:r>
        <w:rPr>
          <w:spacing w:val="-8"/>
          <w:sz w:val="22"/>
        </w:rPr>
        <w:t> </w:t>
      </w:r>
      <w:r>
        <w:rPr>
          <w:sz w:val="22"/>
        </w:rPr>
        <w:t>(ενδεικτικά)</w:t>
      </w:r>
    </w:p>
    <w:p>
      <w:pPr>
        <w:pStyle w:val="ListParagraph"/>
        <w:numPr>
          <w:ilvl w:val="1"/>
          <w:numId w:val="3"/>
        </w:numPr>
        <w:tabs>
          <w:tab w:pos="930" w:val="left" w:leader="none"/>
        </w:tabs>
        <w:spacing w:line="240" w:lineRule="auto" w:before="19" w:after="0"/>
        <w:ind w:left="929" w:right="0" w:hanging="284"/>
        <w:jc w:val="left"/>
        <w:rPr>
          <w:sz w:val="22"/>
        </w:rPr>
      </w:pPr>
      <w:r>
        <w:rPr>
          <w:sz w:val="22"/>
        </w:rPr>
        <w:t>επιφάνεια ερευνητικών εγκαταστάσεων</w:t>
      </w:r>
      <w:r>
        <w:rPr>
          <w:spacing w:val="-4"/>
          <w:sz w:val="22"/>
        </w:rPr>
        <w:t> </w:t>
      </w:r>
      <w:r>
        <w:rPr>
          <w:sz w:val="22"/>
        </w:rPr>
        <w:t>(ενδεικτικά)</w:t>
      </w:r>
    </w:p>
    <w:p>
      <w:pPr>
        <w:pStyle w:val="BodyText"/>
        <w:rPr>
          <w:sz w:val="28"/>
        </w:rPr>
      </w:pPr>
    </w:p>
    <w:p>
      <w:pPr>
        <w:pStyle w:val="BodyText"/>
        <w:rPr>
          <w:sz w:val="28"/>
        </w:rPr>
      </w:pPr>
    </w:p>
    <w:p>
      <w:pPr>
        <w:pStyle w:val="Heading1"/>
        <w:spacing w:before="249"/>
      </w:pPr>
      <w:r>
        <w:rPr/>
        <w:t>ΧΡΟΝΙΚΗ ΠΕΡΙΟΔΟΣ ΕΦΑΡΜΟΓΗΣ</w:t>
      </w:r>
    </w:p>
    <w:p>
      <w:pPr>
        <w:pStyle w:val="BodyText"/>
        <w:spacing w:line="268" w:lineRule="auto" w:before="32"/>
        <w:ind w:left="220" w:right="214" w:firstLine="709"/>
        <w:jc w:val="both"/>
      </w:pPr>
      <w:r>
        <w:rPr/>
        <w:t>Η κάλυψη των υποχρεώσεων που απορρέουν από το με Α.Π. 49939/ΕΥΚΕ 1942/ 13.05.2016 έγγραφο της ΕΥΚΕ αφορά, πέραν του διαστήματος υλοποίησης της Πράξης, σε όλη τη χρονική διάρκεια της ωφέλιμης ζωής του εξοπλισμού και των εγκαταστάσεων που χρηματοδοτήθηκαν στο πλαίσιο του έργου.</w:t>
      </w:r>
    </w:p>
    <w:p>
      <w:pPr>
        <w:pStyle w:val="BodyText"/>
        <w:spacing w:line="268" w:lineRule="auto"/>
        <w:ind w:left="220" w:right="218" w:firstLine="709"/>
        <w:jc w:val="both"/>
      </w:pPr>
      <w:r>
        <w:rPr/>
        <w:t>Πρακτικά, αυτό σημαίνει ότι η λήξη της χρονικής περιόδου στην οποία οι Ερευνητικοί φορείς οφείλουν να τηρούν τις ανωτέρω υποχρεώσεις είναι το μεταγενέστερο από τα ακόλουθα χρονικά σημεία</w:t>
      </w:r>
    </w:p>
    <w:p>
      <w:pPr>
        <w:pStyle w:val="ListParagraph"/>
        <w:numPr>
          <w:ilvl w:val="1"/>
          <w:numId w:val="3"/>
        </w:numPr>
        <w:tabs>
          <w:tab w:pos="930" w:val="left" w:leader="none"/>
        </w:tabs>
        <w:spacing w:line="266" w:lineRule="exact" w:before="0" w:after="0"/>
        <w:ind w:left="929" w:right="0" w:hanging="283"/>
        <w:jc w:val="left"/>
        <w:rPr>
          <w:sz w:val="22"/>
        </w:rPr>
      </w:pPr>
      <w:r>
        <w:rPr>
          <w:sz w:val="22"/>
        </w:rPr>
        <w:t>η ημερομηνία ολοκλήρωσης της Πράξης</w:t>
      </w:r>
      <w:r>
        <w:rPr>
          <w:spacing w:val="-6"/>
          <w:sz w:val="22"/>
        </w:rPr>
        <w:t> </w:t>
      </w:r>
      <w:r>
        <w:rPr>
          <w:sz w:val="22"/>
        </w:rPr>
        <w:t>ή</w:t>
      </w:r>
    </w:p>
    <w:p>
      <w:pPr>
        <w:pStyle w:val="ListParagraph"/>
        <w:numPr>
          <w:ilvl w:val="1"/>
          <w:numId w:val="3"/>
        </w:numPr>
        <w:tabs>
          <w:tab w:pos="930" w:val="left" w:leader="none"/>
        </w:tabs>
        <w:spacing w:line="266" w:lineRule="auto" w:before="16" w:after="0"/>
        <w:ind w:left="929" w:right="217" w:hanging="283"/>
        <w:jc w:val="left"/>
        <w:rPr>
          <w:sz w:val="22"/>
        </w:rPr>
      </w:pPr>
      <w:r>
        <w:rPr>
          <w:sz w:val="22"/>
        </w:rPr>
        <w:t>η χρονική στιγμή στην οποία αποσβένονται πλήρως όλα τα πάγια που αποκτήθηκαν στο πλαίσιο της</w:t>
      </w:r>
      <w:r>
        <w:rPr>
          <w:spacing w:val="-4"/>
          <w:sz w:val="22"/>
        </w:rPr>
        <w:t> </w:t>
      </w:r>
      <w:r>
        <w:rPr>
          <w:sz w:val="22"/>
        </w:rPr>
        <w:t>Πράξης</w:t>
      </w:r>
    </w:p>
    <w:p>
      <w:pPr>
        <w:pStyle w:val="BodyText"/>
      </w:pPr>
    </w:p>
    <w:p>
      <w:pPr>
        <w:pStyle w:val="BodyText"/>
      </w:pPr>
    </w:p>
    <w:p>
      <w:pPr>
        <w:pStyle w:val="BodyText"/>
        <w:spacing w:before="1"/>
        <w:rPr>
          <w:sz w:val="30"/>
        </w:rPr>
      </w:pPr>
    </w:p>
    <w:p>
      <w:pPr>
        <w:pStyle w:val="Heading1"/>
      </w:pPr>
      <w:r>
        <w:rPr/>
        <w:t>ΕΤΗΣΙΑ ΑΝΑΦΟΡΑ</w:t>
      </w:r>
    </w:p>
    <w:p>
      <w:pPr>
        <w:spacing w:line="276" w:lineRule="auto" w:before="0"/>
        <w:ind w:left="220" w:right="216" w:firstLine="709"/>
        <w:jc w:val="both"/>
        <w:rPr>
          <w:sz w:val="22"/>
        </w:rPr>
      </w:pPr>
      <w:r>
        <w:rPr>
          <w:sz w:val="22"/>
        </w:rPr>
        <w:t>Οι φορείς για τους οποίους προκύπτει ανάγκη παρακολούθησης της δυναμικότητας (υποχρέωση 2 της προηγούμενης παραγράφου), πρέπει να υποβάλλουν </w:t>
      </w:r>
      <w:r>
        <w:rPr>
          <w:b/>
          <w:sz w:val="22"/>
          <w:u w:val="single"/>
        </w:rPr>
        <w:t>Ετήσια Αναφορά</w:t>
      </w:r>
      <w:r>
        <w:rPr>
          <w:b/>
          <w:sz w:val="22"/>
        </w:rPr>
        <w:t> </w:t>
      </w:r>
      <w:r>
        <w:rPr>
          <w:b/>
          <w:sz w:val="22"/>
          <w:u w:val="single"/>
        </w:rPr>
        <w:t>Επιμερισμού της Δυναμικότητας</w:t>
      </w:r>
      <w:r>
        <w:rPr>
          <w:b/>
          <w:sz w:val="22"/>
        </w:rPr>
        <w:t> για κάθε μία από τις διακριτές οικονομικές οντότητες με οικονομικές και μη οικονομικές δραστηριότητες</w:t>
      </w:r>
      <w:r>
        <w:rPr>
          <w:b/>
          <w:sz w:val="22"/>
          <w:vertAlign w:val="superscript"/>
        </w:rPr>
        <w:t>4</w:t>
      </w:r>
      <w:r>
        <w:rPr>
          <w:sz w:val="22"/>
          <w:vertAlign w:val="baseline"/>
        </w:rPr>
        <w:t>, όπου θα αναφέρονται κατ’ ελάχιστον οι βασικές παράμετροι του συστήματος παρακολούθησης και οι τιμές των δεικτών παρακολούθησης, προκειμένου να ελέγχεται αν υπάρχει υπέρβαση του σχετικού ορίου (20%). Υπενθυμίζεται ότι η παρακολούθηση του δείκτη «</w:t>
      </w:r>
      <w:r>
        <w:rPr>
          <w:i/>
          <w:sz w:val="22"/>
          <w:vertAlign w:val="baseline"/>
        </w:rPr>
        <w:t>αριθμός ωρών απασχόλησης </w:t>
      </w:r>
      <w:r>
        <w:rPr>
          <w:i/>
          <w:sz w:val="22"/>
          <w:vertAlign w:val="baseline"/>
        </w:rPr>
        <w:t>προσωπικού</w:t>
      </w:r>
      <w:r>
        <w:rPr>
          <w:sz w:val="22"/>
          <w:vertAlign w:val="baseline"/>
        </w:rPr>
        <w:t>» είναι υποχρεωτική.</w:t>
      </w:r>
    </w:p>
    <w:p>
      <w:pPr>
        <w:pStyle w:val="BodyText"/>
        <w:spacing w:line="268" w:lineRule="auto" w:before="151"/>
        <w:ind w:left="220" w:right="216" w:firstLine="709"/>
        <w:jc w:val="both"/>
      </w:pPr>
      <w:r>
        <w:rPr/>
        <w:t>Η Ετήσια Αναφορά Επιμερισμού της Δυναμικότητας των Ερευνητικών φορέων θα πρέπει να υποβάλλεται το αργότερο μέχρι το τέλος Μαρτίου κάθε έτους. Ειδικά για το πρώτο έτος υποβολής, η Ετήσια Αναφορά με τα στοιχεία που αφορούν στις δραστηριότητες του έτους 2018 πρέπει να υποβληθεί μέχρι το τέλος Ιουνίου 2019. Η επιβεβαίωση της αξιόπιστης λειτουργίας του συστήματος παρακολούθησης για τον επιμερισμό της δυναμικότητας εντάσσεται στο αντικείμενο των ελέγχων που διενεργούνται από τα αρμόδια όργανα στο πλαίσιο επιτόπιων</w:t>
      </w:r>
      <w:r>
        <w:rPr>
          <w:spacing w:val="-6"/>
        </w:rPr>
        <w:t> </w:t>
      </w:r>
      <w:r>
        <w:rPr/>
        <w:t>επαληθεύσεων.</w:t>
      </w:r>
    </w:p>
    <w:p>
      <w:pPr>
        <w:pStyle w:val="BodyText"/>
      </w:pPr>
    </w:p>
    <w:p>
      <w:pPr>
        <w:pStyle w:val="BodyText"/>
      </w:pPr>
    </w:p>
    <w:p>
      <w:pPr>
        <w:pStyle w:val="BodyText"/>
      </w:pPr>
    </w:p>
    <w:p>
      <w:pPr>
        <w:pStyle w:val="BodyText"/>
        <w:spacing w:before="1"/>
        <w:rPr>
          <w:sz w:val="17"/>
        </w:rPr>
      </w:pPr>
    </w:p>
    <w:p>
      <w:pPr>
        <w:pStyle w:val="Heading1"/>
        <w:spacing w:before="1"/>
      </w:pPr>
      <w:r>
        <w:rPr/>
        <w:t>ΣΤΑΤΙΣΤΙΚΑ ΣΤΟΙΧΕΙΑ</w:t>
      </w:r>
    </w:p>
    <w:p>
      <w:pPr>
        <w:pStyle w:val="BodyText"/>
        <w:spacing w:line="268" w:lineRule="auto" w:before="31"/>
        <w:ind w:left="220" w:right="215" w:firstLine="709"/>
        <w:jc w:val="both"/>
        <w:rPr>
          <w:b/>
        </w:rPr>
      </w:pPr>
      <w:r>
        <w:rPr/>
        <w:pict>
          <v:line style="position:absolute;mso-position-horizontal-relative:page;mso-position-vertical-relative:paragraph;z-index:-928;mso-wrap-distance-left:0;mso-wrap-distance-right:0" from="90pt,53.845932pt" to="234pt,53.845932pt" stroked="true" strokeweight=".72pt" strokecolor="#000000">
            <v:stroke dashstyle="solid"/>
            <w10:wrap type="topAndBottom"/>
          </v:line>
        </w:pict>
      </w:r>
      <w:r>
        <w:rPr/>
        <w:t>Για λόγους στατιστικής επεξεργασίας και παρακολούθησης της υλοποίησης της Στρατηγικής Έξυπνης Εξειδίκευσης RIS3, οι εξεταζόμενοι φορείς καλούνται να συνυποβάλλουν μαζί με την Ετήσια Αναφορά Επιμερισμού της Δυναμικότητας </w:t>
      </w:r>
      <w:r>
        <w:rPr>
          <w:b/>
          <w:u w:val="single"/>
        </w:rPr>
        <w:t>Ετήσιο</w:t>
      </w:r>
    </w:p>
    <w:p>
      <w:pPr>
        <w:spacing w:line="276" w:lineRule="auto" w:before="35"/>
        <w:ind w:left="361" w:right="0" w:hanging="142"/>
        <w:jc w:val="left"/>
        <w:rPr>
          <w:sz w:val="20"/>
        </w:rPr>
      </w:pPr>
      <w:r>
        <w:rPr>
          <w:position w:val="10"/>
          <w:sz w:val="13"/>
        </w:rPr>
        <w:t>4 </w:t>
      </w:r>
      <w:r>
        <w:rPr>
          <w:sz w:val="20"/>
        </w:rPr>
        <w:t>Στην αναφορά δε θα περιλαμβάνονται στοιχεία για οικονομικές οντότητες που δε λαμβάνουν χρηματοδότηση από το ΕΠΑνΕΚ, εκτός αν οριστεί διαφορετικά</w:t>
      </w:r>
    </w:p>
    <w:p>
      <w:pPr>
        <w:spacing w:after="0" w:line="276" w:lineRule="auto"/>
        <w:jc w:val="left"/>
        <w:rPr>
          <w:sz w:val="20"/>
        </w:rPr>
        <w:sectPr>
          <w:pgSz w:w="11910" w:h="16840"/>
          <w:pgMar w:header="0" w:footer="959" w:top="1380" w:bottom="1140" w:left="1580" w:right="1580"/>
        </w:sectPr>
      </w:pPr>
    </w:p>
    <w:p>
      <w:pPr>
        <w:pStyle w:val="BodyText"/>
        <w:spacing w:line="268" w:lineRule="auto" w:before="30"/>
        <w:ind w:left="220" w:right="891"/>
      </w:pPr>
      <w:r>
        <w:rPr>
          <w:b/>
          <w:u w:val="single"/>
        </w:rPr>
        <w:t>Απολογισμό</w:t>
      </w:r>
      <w:r>
        <w:rPr>
          <w:b/>
        </w:rPr>
        <w:t> </w:t>
      </w:r>
      <w:r>
        <w:rPr/>
        <w:t>των δραστηριοτήτων τους και της χρηματοδότησής τους, όπου θα αποτυπώνονται τα ακόλουθα στοιχεία</w:t>
      </w:r>
    </w:p>
    <w:p>
      <w:pPr>
        <w:pStyle w:val="ListParagraph"/>
        <w:numPr>
          <w:ilvl w:val="0"/>
          <w:numId w:val="4"/>
        </w:numPr>
        <w:tabs>
          <w:tab w:pos="1639" w:val="left" w:leader="none"/>
        </w:tabs>
        <w:spacing w:line="272" w:lineRule="exact" w:before="27" w:after="0"/>
        <w:ind w:left="1638" w:right="0" w:hanging="284"/>
        <w:jc w:val="left"/>
        <w:rPr>
          <w:sz w:val="22"/>
        </w:rPr>
      </w:pPr>
      <w:r>
        <w:rPr>
          <w:sz w:val="22"/>
        </w:rPr>
        <w:t>συνοπτική περιγραφή των δραστηριοτήτων (οικονομικών ‐ μη</w:t>
      </w:r>
      <w:r>
        <w:rPr>
          <w:spacing w:val="-10"/>
          <w:sz w:val="22"/>
        </w:rPr>
        <w:t> </w:t>
      </w:r>
      <w:r>
        <w:rPr>
          <w:sz w:val="22"/>
        </w:rPr>
        <w:t>οικονομικών)</w:t>
      </w:r>
    </w:p>
    <w:p>
      <w:pPr>
        <w:pStyle w:val="ListParagraph"/>
        <w:numPr>
          <w:ilvl w:val="0"/>
          <w:numId w:val="4"/>
        </w:numPr>
        <w:tabs>
          <w:tab w:pos="1639" w:val="left" w:leader="none"/>
        </w:tabs>
        <w:spacing w:line="272" w:lineRule="exact" w:before="0" w:after="0"/>
        <w:ind w:left="1638" w:right="0" w:hanging="285"/>
        <w:jc w:val="left"/>
        <w:rPr>
          <w:sz w:val="22"/>
        </w:rPr>
      </w:pPr>
      <w:r>
        <w:rPr>
          <w:sz w:val="22"/>
        </w:rPr>
        <w:t>επιμερισμός των εισροών ανά οικονομική και μη οικονομική</w:t>
      </w:r>
      <w:r>
        <w:rPr>
          <w:spacing w:val="-21"/>
          <w:sz w:val="22"/>
        </w:rPr>
        <w:t> </w:t>
      </w:r>
      <w:r>
        <w:rPr>
          <w:sz w:val="22"/>
        </w:rPr>
        <w:t>δραστηριότητα</w:t>
      </w:r>
    </w:p>
    <w:p>
      <w:pPr>
        <w:pStyle w:val="BodyText"/>
        <w:spacing w:before="11"/>
        <w:rPr>
          <w:sz w:val="28"/>
        </w:rPr>
      </w:pPr>
    </w:p>
    <w:p>
      <w:pPr>
        <w:pStyle w:val="BodyText"/>
        <w:spacing w:line="268" w:lineRule="auto"/>
        <w:ind w:left="219" w:right="215" w:firstLine="709"/>
        <w:jc w:val="both"/>
      </w:pPr>
      <w:r>
        <w:rPr/>
        <w:t>Τα στοιχεία του ετήσιου απολογισμού θα πρέπει να δίνονται τόσο για το σύνολο του φορέα, όσο και για κάθε διακριτή οντότητα η οποία χρηματοδοτείται από το</w:t>
      </w:r>
      <w:r>
        <w:rPr>
          <w:spacing w:val="10"/>
        </w:rPr>
        <w:t> </w:t>
      </w:r>
      <w:r>
        <w:rPr/>
        <w:t>ΕΠΑνΕΚ.</w:t>
      </w:r>
    </w:p>
    <w:p>
      <w:pPr>
        <w:pStyle w:val="BodyText"/>
      </w:pPr>
    </w:p>
    <w:p>
      <w:pPr>
        <w:pStyle w:val="BodyText"/>
      </w:pPr>
    </w:p>
    <w:p>
      <w:pPr>
        <w:pStyle w:val="BodyText"/>
      </w:pPr>
    </w:p>
    <w:p>
      <w:pPr>
        <w:pStyle w:val="BodyText"/>
      </w:pPr>
    </w:p>
    <w:p>
      <w:pPr>
        <w:pStyle w:val="BodyText"/>
      </w:pPr>
    </w:p>
    <w:p>
      <w:pPr>
        <w:pStyle w:val="BodyText"/>
        <w:spacing w:before="1"/>
        <w:rPr>
          <w:sz w:val="25"/>
        </w:rPr>
      </w:pPr>
    </w:p>
    <w:p>
      <w:pPr>
        <w:pStyle w:val="Heading1"/>
        <w:ind w:left="3757"/>
      </w:pPr>
      <w:r>
        <w:rPr/>
        <w:t>ΠΑΡΑΔΕΙΓΜΑ</w:t>
      </w:r>
    </w:p>
    <w:p>
      <w:pPr>
        <w:pStyle w:val="BodyText"/>
        <w:spacing w:before="3"/>
        <w:rPr>
          <w:b/>
        </w:rPr>
      </w:pPr>
    </w:p>
    <w:p>
      <w:pPr>
        <w:pStyle w:val="BodyText"/>
        <w:spacing w:line="268" w:lineRule="auto"/>
        <w:ind w:left="219" w:right="216" w:firstLine="709"/>
        <w:jc w:val="both"/>
      </w:pPr>
      <w:r>
        <w:rPr/>
        <w:t>Το παράδειγμα που ακολουθεί αφορά σε Ερευνητικό φορέα ο οποίος ασκεί τόσο  μη οικονομικές όσο και οικονομικές δραστηριότητες. Πρόκειται για Ερευνητικό Κέντρο που διαθέτει τρία Ερευνητικά Ινστιτούτα (Β‐Δ), ένα Τεχνολογικό Πάρκο (Ε) και δραστηριοποιείται παράλληλα σε έναν Τεχνοβλαστό (Α). Στον Πίνακα που ακολουθεί αποτυπώνονται οι εισροές του φορέα για το έτος αναφοράς, ταξινομημένες ανάλογα με  την κατηγορία δραστηριότητας από την οποία</w:t>
      </w:r>
      <w:r>
        <w:rPr>
          <w:spacing w:val="-6"/>
        </w:rPr>
        <w:t> </w:t>
      </w:r>
      <w:r>
        <w:rPr/>
        <w:t>προέρχονται.</w:t>
      </w:r>
    </w:p>
    <w:p>
      <w:pPr>
        <w:spacing w:after="0" w:line="268" w:lineRule="auto"/>
        <w:jc w:val="both"/>
        <w:sectPr>
          <w:pgSz w:w="11910" w:h="16840"/>
          <w:pgMar w:header="0" w:footer="959" w:top="1440" w:bottom="1140" w:left="1580" w:right="1580"/>
        </w:sectPr>
      </w:pPr>
    </w:p>
    <w:p>
      <w:pPr>
        <w:spacing w:before="141"/>
        <w:ind w:left="2897" w:right="2677" w:firstLine="0"/>
        <w:jc w:val="center"/>
        <w:rPr>
          <w:b/>
          <w:sz w:val="20"/>
        </w:rPr>
      </w:pPr>
      <w:r>
        <w:rPr>
          <w:b/>
          <w:sz w:val="20"/>
        </w:rPr>
        <w:t>ΠΙΝΑΚΑΣ ΚΑΤΑΝΟΜΗΣ ΕΤΗΣΙΩΝ ΕΙΣΡΟΩΝ ΕΡΕΥΝΗΤΙΚΟΥ ΦΟΡΕΑ ΑΝΑ ΟΙΚΟΝΟΜΙΚΗ ΟΝΤΟΤΗΤΑ (ποσά σε €)</w:t>
      </w:r>
    </w:p>
    <w:p>
      <w:pPr>
        <w:pStyle w:val="BodyText"/>
        <w:spacing w:before="5" w:after="1"/>
        <w:rPr>
          <w:b/>
          <w:sz w:val="16"/>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48"/>
        <w:gridCol w:w="2926"/>
        <w:gridCol w:w="1575"/>
        <w:gridCol w:w="1751"/>
        <w:gridCol w:w="1145"/>
        <w:gridCol w:w="1143"/>
        <w:gridCol w:w="1723"/>
        <w:gridCol w:w="1146"/>
        <w:gridCol w:w="1156"/>
        <w:gridCol w:w="1145"/>
      </w:tblGrid>
      <w:tr>
        <w:trPr>
          <w:trHeight w:val="492" w:hRule="atLeast"/>
        </w:trPr>
        <w:tc>
          <w:tcPr>
            <w:tcW w:w="648" w:type="dxa"/>
            <w:shd w:val="clear" w:color="auto" w:fill="D9D9D9"/>
          </w:tcPr>
          <w:p>
            <w:pPr>
              <w:pStyle w:val="TableParagraph"/>
              <w:rPr>
                <w:rFonts w:ascii="Times New Roman"/>
                <w:sz w:val="18"/>
              </w:rPr>
            </w:pPr>
          </w:p>
        </w:tc>
        <w:tc>
          <w:tcPr>
            <w:tcW w:w="2926" w:type="dxa"/>
            <w:shd w:val="clear" w:color="auto" w:fill="D9D9D9"/>
          </w:tcPr>
          <w:p>
            <w:pPr>
              <w:pStyle w:val="TableParagraph"/>
              <w:rPr>
                <w:rFonts w:ascii="Times New Roman"/>
                <w:sz w:val="18"/>
              </w:rPr>
            </w:pPr>
          </w:p>
        </w:tc>
        <w:tc>
          <w:tcPr>
            <w:tcW w:w="1575" w:type="dxa"/>
            <w:shd w:val="clear" w:color="auto" w:fill="D9D9D9"/>
          </w:tcPr>
          <w:p>
            <w:pPr>
              <w:pStyle w:val="TableParagraph"/>
              <w:rPr>
                <w:rFonts w:ascii="Times New Roman"/>
                <w:sz w:val="18"/>
              </w:rPr>
            </w:pPr>
          </w:p>
        </w:tc>
        <w:tc>
          <w:tcPr>
            <w:tcW w:w="1751" w:type="dxa"/>
            <w:shd w:val="clear" w:color="auto" w:fill="D9D9D9"/>
          </w:tcPr>
          <w:p>
            <w:pPr>
              <w:pStyle w:val="TableParagraph"/>
              <w:rPr>
                <w:rFonts w:ascii="Times New Roman"/>
                <w:sz w:val="18"/>
              </w:rPr>
            </w:pPr>
          </w:p>
        </w:tc>
        <w:tc>
          <w:tcPr>
            <w:tcW w:w="1145" w:type="dxa"/>
            <w:shd w:val="clear" w:color="auto" w:fill="D9D9D9"/>
          </w:tcPr>
          <w:p>
            <w:pPr>
              <w:pStyle w:val="TableParagraph"/>
              <w:spacing w:before="121"/>
              <w:ind w:left="5"/>
              <w:jc w:val="center"/>
              <w:rPr>
                <w:b/>
                <w:sz w:val="18"/>
              </w:rPr>
            </w:pPr>
            <w:r>
              <w:rPr>
                <w:b/>
                <w:sz w:val="18"/>
              </w:rPr>
              <w:t>Α</w:t>
            </w:r>
          </w:p>
        </w:tc>
        <w:tc>
          <w:tcPr>
            <w:tcW w:w="1143" w:type="dxa"/>
            <w:shd w:val="clear" w:color="auto" w:fill="D9D9D9"/>
          </w:tcPr>
          <w:p>
            <w:pPr>
              <w:pStyle w:val="TableParagraph"/>
              <w:spacing w:before="121"/>
              <w:ind w:left="3"/>
              <w:jc w:val="center"/>
              <w:rPr>
                <w:b/>
                <w:sz w:val="18"/>
              </w:rPr>
            </w:pPr>
            <w:r>
              <w:rPr>
                <w:b/>
                <w:sz w:val="18"/>
              </w:rPr>
              <w:t>Β</w:t>
            </w:r>
          </w:p>
        </w:tc>
        <w:tc>
          <w:tcPr>
            <w:tcW w:w="1723" w:type="dxa"/>
            <w:shd w:val="clear" w:color="auto" w:fill="D9D9D9"/>
          </w:tcPr>
          <w:p>
            <w:pPr>
              <w:pStyle w:val="TableParagraph"/>
              <w:spacing w:before="121"/>
              <w:ind w:left="5"/>
              <w:jc w:val="center"/>
              <w:rPr>
                <w:b/>
                <w:sz w:val="18"/>
              </w:rPr>
            </w:pPr>
            <w:r>
              <w:rPr>
                <w:b/>
                <w:sz w:val="18"/>
              </w:rPr>
              <w:t>Γ</w:t>
            </w:r>
          </w:p>
        </w:tc>
        <w:tc>
          <w:tcPr>
            <w:tcW w:w="1146" w:type="dxa"/>
            <w:shd w:val="clear" w:color="auto" w:fill="D9D9D9"/>
          </w:tcPr>
          <w:p>
            <w:pPr>
              <w:pStyle w:val="TableParagraph"/>
              <w:spacing w:before="121"/>
              <w:jc w:val="center"/>
              <w:rPr>
                <w:b/>
                <w:sz w:val="18"/>
              </w:rPr>
            </w:pPr>
            <w:r>
              <w:rPr>
                <w:b/>
                <w:sz w:val="18"/>
              </w:rPr>
              <w:t>Δ</w:t>
            </w:r>
          </w:p>
        </w:tc>
        <w:tc>
          <w:tcPr>
            <w:tcW w:w="1156" w:type="dxa"/>
            <w:shd w:val="clear" w:color="auto" w:fill="D9D9D9"/>
          </w:tcPr>
          <w:p>
            <w:pPr>
              <w:pStyle w:val="TableParagraph"/>
              <w:spacing w:before="121"/>
              <w:ind w:right="1"/>
              <w:jc w:val="center"/>
              <w:rPr>
                <w:b/>
                <w:sz w:val="18"/>
              </w:rPr>
            </w:pPr>
            <w:r>
              <w:rPr>
                <w:b/>
                <w:sz w:val="18"/>
              </w:rPr>
              <w:t>Ε</w:t>
            </w:r>
          </w:p>
        </w:tc>
        <w:tc>
          <w:tcPr>
            <w:tcW w:w="1145" w:type="dxa"/>
            <w:shd w:val="clear" w:color="auto" w:fill="D9D9D9"/>
          </w:tcPr>
          <w:p>
            <w:pPr>
              <w:pStyle w:val="TableParagraph"/>
              <w:spacing w:before="121"/>
              <w:ind w:right="2"/>
              <w:jc w:val="center"/>
              <w:rPr>
                <w:b/>
                <w:sz w:val="18"/>
              </w:rPr>
            </w:pPr>
            <w:r>
              <w:rPr>
                <w:b/>
                <w:sz w:val="18"/>
              </w:rPr>
              <w:t>Ζ</w:t>
            </w:r>
          </w:p>
        </w:tc>
      </w:tr>
      <w:tr>
        <w:trPr>
          <w:trHeight w:val="559" w:hRule="atLeast"/>
        </w:trPr>
        <w:tc>
          <w:tcPr>
            <w:tcW w:w="648" w:type="dxa"/>
            <w:shd w:val="clear" w:color="auto" w:fill="D9D9D9"/>
          </w:tcPr>
          <w:p>
            <w:pPr>
              <w:pStyle w:val="TableParagraph"/>
              <w:rPr>
                <w:rFonts w:ascii="Times New Roman"/>
                <w:sz w:val="18"/>
              </w:rPr>
            </w:pPr>
          </w:p>
        </w:tc>
        <w:tc>
          <w:tcPr>
            <w:tcW w:w="2926" w:type="dxa"/>
            <w:shd w:val="clear" w:color="auto" w:fill="D9D9D9"/>
          </w:tcPr>
          <w:p>
            <w:pPr>
              <w:pStyle w:val="TableParagraph"/>
              <w:spacing w:before="121"/>
              <w:ind w:left="327"/>
              <w:rPr>
                <w:b/>
                <w:sz w:val="18"/>
              </w:rPr>
            </w:pPr>
            <w:r>
              <w:rPr>
                <w:b/>
                <w:sz w:val="18"/>
              </w:rPr>
              <w:t>ΠΕΡΙΓΡΑΦΗ ΔΡΑΣΤΗΡΙΟΤΗΤΑΣ</w:t>
            </w:r>
          </w:p>
        </w:tc>
        <w:tc>
          <w:tcPr>
            <w:tcW w:w="1575" w:type="dxa"/>
            <w:shd w:val="clear" w:color="auto" w:fill="D9D9D9"/>
          </w:tcPr>
          <w:p>
            <w:pPr>
              <w:pStyle w:val="TableParagraph"/>
              <w:spacing w:before="121"/>
              <w:ind w:left="260"/>
              <w:rPr>
                <w:b/>
                <w:sz w:val="18"/>
              </w:rPr>
            </w:pPr>
            <w:r>
              <w:rPr>
                <w:b/>
                <w:sz w:val="18"/>
              </w:rPr>
              <w:t>ΟΙΚΟΝΟΜΙΚΗ</w:t>
            </w:r>
          </w:p>
        </w:tc>
        <w:tc>
          <w:tcPr>
            <w:tcW w:w="1751" w:type="dxa"/>
            <w:shd w:val="clear" w:color="auto" w:fill="D9D9D9"/>
          </w:tcPr>
          <w:p>
            <w:pPr>
              <w:pStyle w:val="TableParagraph"/>
              <w:spacing w:before="121"/>
              <w:ind w:left="194"/>
              <w:rPr>
                <w:b/>
                <w:sz w:val="18"/>
              </w:rPr>
            </w:pPr>
            <w:r>
              <w:rPr>
                <w:b/>
                <w:sz w:val="18"/>
              </w:rPr>
              <w:t>ΜΗ ΟΙΚΟΝΟΜΙΚΗ</w:t>
            </w:r>
          </w:p>
        </w:tc>
        <w:tc>
          <w:tcPr>
            <w:tcW w:w="1145" w:type="dxa"/>
            <w:shd w:val="clear" w:color="auto" w:fill="D9D9D9"/>
          </w:tcPr>
          <w:p>
            <w:pPr>
              <w:pStyle w:val="TableParagraph"/>
              <w:spacing w:before="121"/>
              <w:ind w:left="285"/>
              <w:rPr>
                <w:b/>
                <w:sz w:val="18"/>
              </w:rPr>
            </w:pPr>
            <w:r>
              <w:rPr>
                <w:b/>
                <w:sz w:val="18"/>
              </w:rPr>
              <w:t>Εταιρία</w:t>
            </w:r>
          </w:p>
        </w:tc>
        <w:tc>
          <w:tcPr>
            <w:tcW w:w="1143" w:type="dxa"/>
            <w:shd w:val="clear" w:color="auto" w:fill="D9D9D9"/>
          </w:tcPr>
          <w:p>
            <w:pPr>
              <w:pStyle w:val="TableParagraph"/>
              <w:spacing w:line="220" w:lineRule="atLeast" w:before="121"/>
              <w:ind w:left="175" w:right="119" w:hanging="34"/>
              <w:rPr>
                <w:b/>
                <w:sz w:val="18"/>
              </w:rPr>
            </w:pPr>
            <w:r>
              <w:rPr>
                <w:b/>
                <w:sz w:val="18"/>
              </w:rPr>
              <w:t>Ερευνητικό Ινστιτούτο</w:t>
            </w:r>
          </w:p>
        </w:tc>
        <w:tc>
          <w:tcPr>
            <w:tcW w:w="1723" w:type="dxa"/>
            <w:shd w:val="clear" w:color="auto" w:fill="D9D9D9"/>
          </w:tcPr>
          <w:p>
            <w:pPr>
              <w:pStyle w:val="TableParagraph"/>
              <w:spacing w:line="220" w:lineRule="atLeast" w:before="121"/>
              <w:ind w:left="465" w:right="409" w:hanging="34"/>
              <w:rPr>
                <w:b/>
                <w:sz w:val="18"/>
              </w:rPr>
            </w:pPr>
            <w:r>
              <w:rPr>
                <w:b/>
                <w:sz w:val="18"/>
              </w:rPr>
              <w:t>Ερευνητικό Ινστιτούτο</w:t>
            </w:r>
          </w:p>
        </w:tc>
        <w:tc>
          <w:tcPr>
            <w:tcW w:w="1146" w:type="dxa"/>
            <w:shd w:val="clear" w:color="auto" w:fill="D9D9D9"/>
          </w:tcPr>
          <w:p>
            <w:pPr>
              <w:pStyle w:val="TableParagraph"/>
              <w:spacing w:line="220" w:lineRule="atLeast" w:before="121"/>
              <w:ind w:left="175" w:right="122" w:hanging="34"/>
              <w:rPr>
                <w:b/>
                <w:sz w:val="18"/>
              </w:rPr>
            </w:pPr>
            <w:r>
              <w:rPr>
                <w:b/>
                <w:sz w:val="18"/>
              </w:rPr>
              <w:t>Ερευνητικό Ινστιτούτο</w:t>
            </w:r>
          </w:p>
        </w:tc>
        <w:tc>
          <w:tcPr>
            <w:tcW w:w="1156" w:type="dxa"/>
            <w:shd w:val="clear" w:color="auto" w:fill="D9D9D9"/>
          </w:tcPr>
          <w:p>
            <w:pPr>
              <w:pStyle w:val="TableParagraph"/>
              <w:spacing w:line="220" w:lineRule="atLeast" w:before="121"/>
              <w:ind w:left="323" w:right="85" w:hanging="220"/>
              <w:rPr>
                <w:b/>
                <w:sz w:val="18"/>
              </w:rPr>
            </w:pPr>
            <w:r>
              <w:rPr>
                <w:b/>
                <w:sz w:val="18"/>
              </w:rPr>
              <w:t>Τεχνολογικό Πάρκο</w:t>
            </w:r>
          </w:p>
        </w:tc>
        <w:tc>
          <w:tcPr>
            <w:tcW w:w="1145" w:type="dxa"/>
            <w:shd w:val="clear" w:color="auto" w:fill="D9D9D9"/>
          </w:tcPr>
          <w:p>
            <w:pPr>
              <w:pStyle w:val="TableParagraph"/>
              <w:spacing w:line="220" w:lineRule="atLeast" w:before="121"/>
              <w:ind w:left="145" w:right="123" w:hanging="6"/>
              <w:rPr>
                <w:b/>
                <w:sz w:val="18"/>
              </w:rPr>
            </w:pPr>
            <w:r>
              <w:rPr>
                <w:b/>
                <w:sz w:val="18"/>
              </w:rPr>
              <w:t>Διοικητικές Υπηρεσίες</w:t>
            </w:r>
            <w:r>
              <w:rPr>
                <w:b/>
                <w:sz w:val="18"/>
                <w:vertAlign w:val="superscript"/>
              </w:rPr>
              <w:t>5</w:t>
            </w:r>
          </w:p>
        </w:tc>
      </w:tr>
      <w:tr>
        <w:trPr>
          <w:trHeight w:val="387" w:hRule="atLeast"/>
        </w:trPr>
        <w:tc>
          <w:tcPr>
            <w:tcW w:w="648" w:type="dxa"/>
          </w:tcPr>
          <w:p>
            <w:pPr>
              <w:pStyle w:val="TableParagraph"/>
              <w:spacing w:line="225" w:lineRule="exact" w:before="142"/>
              <w:ind w:right="204"/>
              <w:jc w:val="right"/>
              <w:rPr>
                <w:b/>
                <w:sz w:val="20"/>
              </w:rPr>
            </w:pPr>
            <w:r>
              <w:rPr>
                <w:b/>
                <w:sz w:val="20"/>
              </w:rPr>
              <w:t>Δ1</w:t>
            </w:r>
          </w:p>
        </w:tc>
        <w:tc>
          <w:tcPr>
            <w:tcW w:w="2926" w:type="dxa"/>
          </w:tcPr>
          <w:p>
            <w:pPr>
              <w:pStyle w:val="TableParagraph"/>
              <w:spacing w:line="225" w:lineRule="exact" w:before="142"/>
              <w:ind w:left="107"/>
              <w:rPr>
                <w:sz w:val="20"/>
              </w:rPr>
            </w:pPr>
            <w:r>
              <w:rPr>
                <w:sz w:val="20"/>
              </w:rPr>
              <w:t>Τεχνοβλαστός (spin‐off)</w:t>
            </w:r>
            <w:r>
              <w:rPr>
                <w:sz w:val="20"/>
                <w:vertAlign w:val="superscript"/>
              </w:rPr>
              <w:t>6</w:t>
            </w:r>
          </w:p>
        </w:tc>
        <w:tc>
          <w:tcPr>
            <w:tcW w:w="1575" w:type="dxa"/>
          </w:tcPr>
          <w:p>
            <w:pPr>
              <w:pStyle w:val="TableParagraph"/>
              <w:rPr>
                <w:rFonts w:ascii="Times New Roman"/>
                <w:sz w:val="18"/>
              </w:rPr>
            </w:pPr>
          </w:p>
        </w:tc>
        <w:tc>
          <w:tcPr>
            <w:tcW w:w="1751" w:type="dxa"/>
            <w:shd w:val="clear" w:color="auto" w:fill="E36B09"/>
          </w:tcPr>
          <w:p>
            <w:pPr>
              <w:pStyle w:val="TableParagraph"/>
              <w:rPr>
                <w:rFonts w:ascii="Times New Roman"/>
                <w:sz w:val="18"/>
              </w:rPr>
            </w:pPr>
          </w:p>
        </w:tc>
        <w:tc>
          <w:tcPr>
            <w:tcW w:w="1145" w:type="dxa"/>
          </w:tcPr>
          <w:p>
            <w:pPr>
              <w:pStyle w:val="TableParagraph"/>
              <w:spacing w:line="225" w:lineRule="exact" w:before="142"/>
              <w:ind w:right="97"/>
              <w:jc w:val="right"/>
              <w:rPr>
                <w:sz w:val="20"/>
              </w:rPr>
            </w:pPr>
            <w:r>
              <w:rPr>
                <w:sz w:val="20"/>
              </w:rPr>
              <w:t>500.000</w:t>
            </w:r>
          </w:p>
        </w:tc>
        <w:tc>
          <w:tcPr>
            <w:tcW w:w="1143" w:type="dxa"/>
          </w:tcPr>
          <w:p>
            <w:pPr>
              <w:pStyle w:val="TableParagraph"/>
              <w:rPr>
                <w:rFonts w:ascii="Times New Roman"/>
                <w:sz w:val="18"/>
              </w:rPr>
            </w:pPr>
          </w:p>
        </w:tc>
        <w:tc>
          <w:tcPr>
            <w:tcW w:w="1723" w:type="dxa"/>
          </w:tcPr>
          <w:p>
            <w:pPr>
              <w:pStyle w:val="TableParagraph"/>
              <w:rPr>
                <w:rFonts w:ascii="Times New Roman"/>
                <w:sz w:val="18"/>
              </w:rPr>
            </w:pPr>
          </w:p>
        </w:tc>
        <w:tc>
          <w:tcPr>
            <w:tcW w:w="1146" w:type="dxa"/>
          </w:tcPr>
          <w:p>
            <w:pPr>
              <w:pStyle w:val="TableParagraph"/>
              <w:rPr>
                <w:rFonts w:ascii="Times New Roman"/>
                <w:sz w:val="18"/>
              </w:rPr>
            </w:pP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692" w:hRule="atLeast"/>
        </w:trPr>
        <w:tc>
          <w:tcPr>
            <w:tcW w:w="648" w:type="dxa"/>
          </w:tcPr>
          <w:p>
            <w:pPr>
              <w:pStyle w:val="TableParagraph"/>
              <w:spacing w:before="143"/>
              <w:ind w:right="204"/>
              <w:jc w:val="right"/>
              <w:rPr>
                <w:b/>
                <w:sz w:val="20"/>
              </w:rPr>
            </w:pPr>
            <w:r>
              <w:rPr>
                <w:b/>
                <w:sz w:val="20"/>
              </w:rPr>
              <w:t>Δ2</w:t>
            </w:r>
          </w:p>
        </w:tc>
        <w:tc>
          <w:tcPr>
            <w:tcW w:w="2926" w:type="dxa"/>
          </w:tcPr>
          <w:p>
            <w:pPr>
              <w:pStyle w:val="TableParagraph"/>
              <w:spacing w:before="143"/>
              <w:ind w:left="107" w:right="473"/>
              <w:rPr>
                <w:sz w:val="20"/>
              </w:rPr>
            </w:pPr>
            <w:r>
              <w:rPr>
                <w:sz w:val="20"/>
              </w:rPr>
              <w:t>Παροχή υπηρεσιών έρευνας μέσω χημικών αναλύσεων</w:t>
            </w:r>
          </w:p>
        </w:tc>
        <w:tc>
          <w:tcPr>
            <w:tcW w:w="1575" w:type="dxa"/>
            <w:shd w:val="clear" w:color="auto" w:fill="E36B09"/>
          </w:tcPr>
          <w:p>
            <w:pPr>
              <w:pStyle w:val="TableParagraph"/>
              <w:rPr>
                <w:rFonts w:ascii="Times New Roman"/>
                <w:sz w:val="18"/>
              </w:rPr>
            </w:pPr>
          </w:p>
        </w:tc>
        <w:tc>
          <w:tcPr>
            <w:tcW w:w="1751" w:type="dxa"/>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spacing w:before="143"/>
              <w:ind w:right="97"/>
              <w:jc w:val="right"/>
              <w:rPr>
                <w:sz w:val="20"/>
              </w:rPr>
            </w:pPr>
            <w:r>
              <w:rPr>
                <w:sz w:val="20"/>
              </w:rPr>
              <w:t>600.000</w:t>
            </w:r>
          </w:p>
        </w:tc>
        <w:tc>
          <w:tcPr>
            <w:tcW w:w="1723" w:type="dxa"/>
          </w:tcPr>
          <w:p>
            <w:pPr>
              <w:pStyle w:val="TableParagraph"/>
              <w:rPr>
                <w:rFonts w:ascii="Times New Roman"/>
                <w:sz w:val="18"/>
              </w:rPr>
            </w:pPr>
          </w:p>
        </w:tc>
        <w:tc>
          <w:tcPr>
            <w:tcW w:w="1146" w:type="dxa"/>
          </w:tcPr>
          <w:p>
            <w:pPr>
              <w:pStyle w:val="TableParagraph"/>
              <w:rPr>
                <w:rFonts w:ascii="Times New Roman"/>
                <w:sz w:val="18"/>
              </w:rPr>
            </w:pP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632" w:hRule="atLeast"/>
        </w:trPr>
        <w:tc>
          <w:tcPr>
            <w:tcW w:w="648" w:type="dxa"/>
          </w:tcPr>
          <w:p>
            <w:pPr>
              <w:pStyle w:val="TableParagraph"/>
              <w:spacing w:before="143"/>
              <w:ind w:right="204"/>
              <w:jc w:val="right"/>
              <w:rPr>
                <w:b/>
                <w:sz w:val="20"/>
              </w:rPr>
            </w:pPr>
            <w:r>
              <w:rPr>
                <w:b/>
                <w:sz w:val="20"/>
              </w:rPr>
              <w:t>Δ3</w:t>
            </w:r>
          </w:p>
        </w:tc>
        <w:tc>
          <w:tcPr>
            <w:tcW w:w="2926" w:type="dxa"/>
          </w:tcPr>
          <w:p>
            <w:pPr>
              <w:pStyle w:val="TableParagraph"/>
              <w:spacing w:line="244" w:lineRule="exact" w:before="143"/>
              <w:ind w:left="107"/>
              <w:rPr>
                <w:sz w:val="20"/>
              </w:rPr>
            </w:pPr>
            <w:r>
              <w:rPr>
                <w:sz w:val="20"/>
              </w:rPr>
              <w:t>Συνεργατική Ε&amp;Α</w:t>
            </w:r>
          </w:p>
          <w:p>
            <w:pPr>
              <w:pStyle w:val="TableParagraph"/>
              <w:spacing w:line="225" w:lineRule="exact"/>
              <w:ind w:left="107"/>
              <w:rPr>
                <w:sz w:val="20"/>
              </w:rPr>
            </w:pPr>
            <w:r>
              <w:rPr>
                <w:sz w:val="20"/>
              </w:rPr>
              <w:t>(πραγματική συνεργασία)</w:t>
            </w:r>
            <w:r>
              <w:rPr>
                <w:sz w:val="20"/>
                <w:vertAlign w:val="superscript"/>
              </w:rPr>
              <w:t>7</w:t>
            </w:r>
          </w:p>
        </w:tc>
        <w:tc>
          <w:tcPr>
            <w:tcW w:w="1575" w:type="dxa"/>
          </w:tcPr>
          <w:p>
            <w:pPr>
              <w:pStyle w:val="TableParagraph"/>
              <w:rPr>
                <w:rFonts w:ascii="Times New Roman"/>
                <w:sz w:val="18"/>
              </w:rPr>
            </w:pPr>
          </w:p>
        </w:tc>
        <w:tc>
          <w:tcPr>
            <w:tcW w:w="1751" w:type="dxa"/>
            <w:shd w:val="clear" w:color="auto" w:fill="E36B09"/>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spacing w:before="143"/>
              <w:ind w:right="97"/>
              <w:jc w:val="right"/>
              <w:rPr>
                <w:sz w:val="20"/>
              </w:rPr>
            </w:pPr>
            <w:r>
              <w:rPr>
                <w:sz w:val="20"/>
              </w:rPr>
              <w:t>300.000</w:t>
            </w:r>
          </w:p>
        </w:tc>
        <w:tc>
          <w:tcPr>
            <w:tcW w:w="1723" w:type="dxa"/>
          </w:tcPr>
          <w:p>
            <w:pPr>
              <w:pStyle w:val="TableParagraph"/>
              <w:rPr>
                <w:rFonts w:ascii="Times New Roman"/>
                <w:sz w:val="18"/>
              </w:rPr>
            </w:pPr>
          </w:p>
        </w:tc>
        <w:tc>
          <w:tcPr>
            <w:tcW w:w="1146" w:type="dxa"/>
          </w:tcPr>
          <w:p>
            <w:pPr>
              <w:pStyle w:val="TableParagraph"/>
              <w:rPr>
                <w:rFonts w:ascii="Times New Roman"/>
                <w:sz w:val="18"/>
              </w:rPr>
            </w:pP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632" w:hRule="atLeast"/>
        </w:trPr>
        <w:tc>
          <w:tcPr>
            <w:tcW w:w="648" w:type="dxa"/>
          </w:tcPr>
          <w:p>
            <w:pPr>
              <w:pStyle w:val="TableParagraph"/>
              <w:spacing w:before="143"/>
              <w:ind w:right="204"/>
              <w:jc w:val="right"/>
              <w:rPr>
                <w:b/>
                <w:sz w:val="20"/>
              </w:rPr>
            </w:pPr>
            <w:r>
              <w:rPr>
                <w:b/>
                <w:sz w:val="20"/>
              </w:rPr>
              <w:t>Δ4</w:t>
            </w:r>
          </w:p>
        </w:tc>
        <w:tc>
          <w:tcPr>
            <w:tcW w:w="2926" w:type="dxa"/>
          </w:tcPr>
          <w:p>
            <w:pPr>
              <w:pStyle w:val="TableParagraph"/>
              <w:spacing w:line="240" w:lineRule="atLeast" w:before="143"/>
              <w:ind w:left="107" w:right="812"/>
              <w:rPr>
                <w:sz w:val="20"/>
              </w:rPr>
            </w:pPr>
            <w:r>
              <w:rPr>
                <w:sz w:val="20"/>
              </w:rPr>
              <w:t>Ερευνητική σύμβαση με επιχείρηση</w:t>
            </w:r>
          </w:p>
        </w:tc>
        <w:tc>
          <w:tcPr>
            <w:tcW w:w="1575" w:type="dxa"/>
            <w:shd w:val="clear" w:color="auto" w:fill="E36B09"/>
          </w:tcPr>
          <w:p>
            <w:pPr>
              <w:pStyle w:val="TableParagraph"/>
              <w:rPr>
                <w:rFonts w:ascii="Times New Roman"/>
                <w:sz w:val="18"/>
              </w:rPr>
            </w:pPr>
          </w:p>
        </w:tc>
        <w:tc>
          <w:tcPr>
            <w:tcW w:w="1751" w:type="dxa"/>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rPr>
                <w:rFonts w:ascii="Times New Roman"/>
                <w:sz w:val="18"/>
              </w:rPr>
            </w:pPr>
          </w:p>
        </w:tc>
        <w:tc>
          <w:tcPr>
            <w:tcW w:w="1723" w:type="dxa"/>
          </w:tcPr>
          <w:p>
            <w:pPr>
              <w:pStyle w:val="TableParagraph"/>
              <w:spacing w:before="143"/>
              <w:ind w:right="98"/>
              <w:jc w:val="right"/>
              <w:rPr>
                <w:sz w:val="20"/>
              </w:rPr>
            </w:pPr>
            <w:r>
              <w:rPr>
                <w:sz w:val="20"/>
              </w:rPr>
              <w:t>50.000</w:t>
            </w:r>
          </w:p>
        </w:tc>
        <w:tc>
          <w:tcPr>
            <w:tcW w:w="1146" w:type="dxa"/>
          </w:tcPr>
          <w:p>
            <w:pPr>
              <w:pStyle w:val="TableParagraph"/>
              <w:rPr>
                <w:rFonts w:ascii="Times New Roman"/>
                <w:sz w:val="18"/>
              </w:rPr>
            </w:pP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632" w:hRule="atLeast"/>
        </w:trPr>
        <w:tc>
          <w:tcPr>
            <w:tcW w:w="648" w:type="dxa"/>
          </w:tcPr>
          <w:p>
            <w:pPr>
              <w:pStyle w:val="TableParagraph"/>
              <w:spacing w:before="143"/>
              <w:ind w:right="204"/>
              <w:jc w:val="right"/>
              <w:rPr>
                <w:b/>
                <w:sz w:val="20"/>
              </w:rPr>
            </w:pPr>
            <w:r>
              <w:rPr>
                <w:b/>
                <w:sz w:val="20"/>
              </w:rPr>
              <w:t>Δ5</w:t>
            </w:r>
          </w:p>
        </w:tc>
        <w:tc>
          <w:tcPr>
            <w:tcW w:w="2926" w:type="dxa"/>
          </w:tcPr>
          <w:p>
            <w:pPr>
              <w:pStyle w:val="TableParagraph"/>
              <w:spacing w:line="240" w:lineRule="atLeast" w:before="143"/>
              <w:ind w:left="107" w:right="452"/>
              <w:rPr>
                <w:sz w:val="20"/>
              </w:rPr>
            </w:pPr>
            <w:r>
              <w:rPr>
                <w:sz w:val="20"/>
              </w:rPr>
              <w:t>Συγχρηματοδοτούμενα έργα πλην κρατικών ενισχύσεων</w:t>
            </w:r>
          </w:p>
        </w:tc>
        <w:tc>
          <w:tcPr>
            <w:tcW w:w="1575" w:type="dxa"/>
          </w:tcPr>
          <w:p>
            <w:pPr>
              <w:pStyle w:val="TableParagraph"/>
              <w:rPr>
                <w:rFonts w:ascii="Times New Roman"/>
                <w:sz w:val="18"/>
              </w:rPr>
            </w:pPr>
          </w:p>
        </w:tc>
        <w:tc>
          <w:tcPr>
            <w:tcW w:w="1751" w:type="dxa"/>
            <w:shd w:val="clear" w:color="auto" w:fill="E36B09"/>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rPr>
                <w:rFonts w:ascii="Times New Roman"/>
                <w:sz w:val="18"/>
              </w:rPr>
            </w:pPr>
          </w:p>
        </w:tc>
        <w:tc>
          <w:tcPr>
            <w:tcW w:w="1723" w:type="dxa"/>
          </w:tcPr>
          <w:p>
            <w:pPr>
              <w:pStyle w:val="TableParagraph"/>
              <w:spacing w:before="143"/>
              <w:ind w:right="98"/>
              <w:jc w:val="right"/>
              <w:rPr>
                <w:sz w:val="20"/>
              </w:rPr>
            </w:pPr>
            <w:r>
              <w:rPr>
                <w:sz w:val="20"/>
              </w:rPr>
              <w:t>400.000</w:t>
            </w:r>
          </w:p>
        </w:tc>
        <w:tc>
          <w:tcPr>
            <w:tcW w:w="1146" w:type="dxa"/>
          </w:tcPr>
          <w:p>
            <w:pPr>
              <w:pStyle w:val="TableParagraph"/>
              <w:spacing w:before="143"/>
              <w:ind w:right="99"/>
              <w:jc w:val="right"/>
              <w:rPr>
                <w:sz w:val="20"/>
              </w:rPr>
            </w:pPr>
            <w:r>
              <w:rPr>
                <w:sz w:val="20"/>
              </w:rPr>
              <w:t>600.000</w:t>
            </w: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729" w:hRule="atLeast"/>
        </w:trPr>
        <w:tc>
          <w:tcPr>
            <w:tcW w:w="648" w:type="dxa"/>
          </w:tcPr>
          <w:p>
            <w:pPr>
              <w:pStyle w:val="TableParagraph"/>
              <w:spacing w:before="144"/>
              <w:ind w:right="204"/>
              <w:jc w:val="right"/>
              <w:rPr>
                <w:b/>
                <w:sz w:val="20"/>
              </w:rPr>
            </w:pPr>
            <w:r>
              <w:rPr>
                <w:b/>
                <w:sz w:val="20"/>
              </w:rPr>
              <w:t>Δ6</w:t>
            </w:r>
          </w:p>
        </w:tc>
        <w:tc>
          <w:tcPr>
            <w:tcW w:w="2926" w:type="dxa"/>
          </w:tcPr>
          <w:p>
            <w:pPr>
              <w:pStyle w:val="TableParagraph"/>
              <w:spacing w:before="144"/>
              <w:ind w:left="107" w:right="452"/>
              <w:rPr>
                <w:sz w:val="20"/>
              </w:rPr>
            </w:pPr>
            <w:r>
              <w:rPr>
                <w:sz w:val="20"/>
              </w:rPr>
              <w:t>Συγχρηματοδοτούμενα έργα από ΕΕ (π.χ. HORIZON 2020)</w:t>
            </w:r>
          </w:p>
        </w:tc>
        <w:tc>
          <w:tcPr>
            <w:tcW w:w="1575" w:type="dxa"/>
            <w:shd w:val="clear" w:color="auto" w:fill="E36B09"/>
          </w:tcPr>
          <w:p>
            <w:pPr>
              <w:pStyle w:val="TableParagraph"/>
              <w:rPr>
                <w:rFonts w:ascii="Times New Roman"/>
                <w:sz w:val="18"/>
              </w:rPr>
            </w:pPr>
          </w:p>
        </w:tc>
        <w:tc>
          <w:tcPr>
            <w:tcW w:w="1751" w:type="dxa"/>
            <w:shd w:val="clear" w:color="auto" w:fill="E36B09"/>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rPr>
                <w:rFonts w:ascii="Times New Roman"/>
                <w:sz w:val="18"/>
              </w:rPr>
            </w:pPr>
          </w:p>
        </w:tc>
        <w:tc>
          <w:tcPr>
            <w:tcW w:w="1723" w:type="dxa"/>
          </w:tcPr>
          <w:p>
            <w:pPr>
              <w:pStyle w:val="TableParagraph"/>
              <w:spacing w:before="60"/>
              <w:ind w:left="562"/>
              <w:rPr>
                <w:sz w:val="20"/>
              </w:rPr>
            </w:pPr>
            <w:r>
              <w:rPr>
                <w:sz w:val="20"/>
              </w:rPr>
              <w:t>20.000</w:t>
            </w:r>
            <w:r>
              <w:rPr>
                <w:spacing w:val="-6"/>
                <w:sz w:val="20"/>
              </w:rPr>
              <w:t> </w:t>
            </w:r>
            <w:r>
              <w:rPr>
                <w:sz w:val="20"/>
              </w:rPr>
              <w:t>οικον</w:t>
            </w:r>
          </w:p>
          <w:p>
            <w:pPr>
              <w:pStyle w:val="TableParagraph"/>
              <w:spacing w:before="142"/>
              <w:ind w:left="300"/>
              <w:rPr>
                <w:sz w:val="20"/>
              </w:rPr>
            </w:pPr>
            <w:r>
              <w:rPr>
                <w:sz w:val="20"/>
              </w:rPr>
              <w:t>80.000 μη</w:t>
            </w:r>
            <w:r>
              <w:rPr>
                <w:spacing w:val="-6"/>
                <w:sz w:val="20"/>
              </w:rPr>
              <w:t> </w:t>
            </w:r>
            <w:r>
              <w:rPr>
                <w:sz w:val="20"/>
              </w:rPr>
              <w:t>οικον</w:t>
            </w:r>
          </w:p>
        </w:tc>
        <w:tc>
          <w:tcPr>
            <w:tcW w:w="1146" w:type="dxa"/>
          </w:tcPr>
          <w:p>
            <w:pPr>
              <w:pStyle w:val="TableParagraph"/>
              <w:spacing w:before="144"/>
              <w:ind w:right="99"/>
              <w:jc w:val="right"/>
              <w:rPr>
                <w:sz w:val="20"/>
              </w:rPr>
            </w:pPr>
            <w:r>
              <w:rPr>
                <w:sz w:val="20"/>
              </w:rPr>
              <w:t>450.000</w:t>
            </w: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632" w:hRule="atLeast"/>
        </w:trPr>
        <w:tc>
          <w:tcPr>
            <w:tcW w:w="648" w:type="dxa"/>
          </w:tcPr>
          <w:p>
            <w:pPr>
              <w:pStyle w:val="TableParagraph"/>
              <w:spacing w:before="143"/>
              <w:ind w:right="204"/>
              <w:jc w:val="right"/>
              <w:rPr>
                <w:b/>
                <w:sz w:val="20"/>
              </w:rPr>
            </w:pPr>
            <w:r>
              <w:rPr>
                <w:b/>
                <w:sz w:val="20"/>
              </w:rPr>
              <w:t>Δ7</w:t>
            </w:r>
          </w:p>
        </w:tc>
        <w:tc>
          <w:tcPr>
            <w:tcW w:w="2926" w:type="dxa"/>
          </w:tcPr>
          <w:p>
            <w:pPr>
              <w:pStyle w:val="TableParagraph"/>
              <w:spacing w:line="240" w:lineRule="atLeast" w:before="143"/>
              <w:ind w:left="107" w:right="561"/>
              <w:rPr>
                <w:sz w:val="20"/>
              </w:rPr>
            </w:pPr>
            <w:r>
              <w:rPr>
                <w:sz w:val="20"/>
              </w:rPr>
              <w:t>Μη συγχρηματοδοτούμενη ανεξάρτητη έρευνα</w:t>
            </w:r>
          </w:p>
        </w:tc>
        <w:tc>
          <w:tcPr>
            <w:tcW w:w="1575" w:type="dxa"/>
          </w:tcPr>
          <w:p>
            <w:pPr>
              <w:pStyle w:val="TableParagraph"/>
              <w:rPr>
                <w:rFonts w:ascii="Times New Roman"/>
                <w:sz w:val="18"/>
              </w:rPr>
            </w:pPr>
          </w:p>
        </w:tc>
        <w:tc>
          <w:tcPr>
            <w:tcW w:w="1751" w:type="dxa"/>
            <w:shd w:val="clear" w:color="auto" w:fill="E36B09"/>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spacing w:before="143"/>
              <w:ind w:right="97"/>
              <w:jc w:val="right"/>
              <w:rPr>
                <w:sz w:val="20"/>
              </w:rPr>
            </w:pPr>
            <w:r>
              <w:rPr>
                <w:sz w:val="20"/>
              </w:rPr>
              <w:t>600.000</w:t>
            </w:r>
          </w:p>
        </w:tc>
        <w:tc>
          <w:tcPr>
            <w:tcW w:w="1723" w:type="dxa"/>
          </w:tcPr>
          <w:p>
            <w:pPr>
              <w:pStyle w:val="TableParagraph"/>
              <w:spacing w:before="143"/>
              <w:ind w:right="98"/>
              <w:jc w:val="right"/>
              <w:rPr>
                <w:sz w:val="20"/>
              </w:rPr>
            </w:pPr>
            <w:r>
              <w:rPr>
                <w:sz w:val="20"/>
              </w:rPr>
              <w:t>550.000</w:t>
            </w:r>
          </w:p>
        </w:tc>
        <w:tc>
          <w:tcPr>
            <w:tcW w:w="1146" w:type="dxa"/>
          </w:tcPr>
          <w:p>
            <w:pPr>
              <w:pStyle w:val="TableParagraph"/>
              <w:spacing w:before="143"/>
              <w:ind w:right="99"/>
              <w:jc w:val="right"/>
              <w:rPr>
                <w:sz w:val="20"/>
              </w:rPr>
            </w:pPr>
            <w:r>
              <w:rPr>
                <w:sz w:val="20"/>
              </w:rPr>
              <w:t>800.000</w:t>
            </w:r>
          </w:p>
        </w:tc>
        <w:tc>
          <w:tcPr>
            <w:tcW w:w="1156" w:type="dxa"/>
          </w:tcPr>
          <w:p>
            <w:pPr>
              <w:pStyle w:val="TableParagraph"/>
              <w:rPr>
                <w:rFonts w:ascii="Times New Roman"/>
                <w:sz w:val="18"/>
              </w:rPr>
            </w:pPr>
          </w:p>
        </w:tc>
        <w:tc>
          <w:tcPr>
            <w:tcW w:w="1145" w:type="dxa"/>
          </w:tcPr>
          <w:p>
            <w:pPr>
              <w:pStyle w:val="TableParagraph"/>
              <w:rPr>
                <w:rFonts w:ascii="Times New Roman"/>
                <w:sz w:val="18"/>
              </w:rPr>
            </w:pPr>
          </w:p>
        </w:tc>
      </w:tr>
      <w:tr>
        <w:trPr>
          <w:trHeight w:val="632" w:hRule="atLeast"/>
        </w:trPr>
        <w:tc>
          <w:tcPr>
            <w:tcW w:w="648" w:type="dxa"/>
          </w:tcPr>
          <w:p>
            <w:pPr>
              <w:pStyle w:val="TableParagraph"/>
              <w:spacing w:before="144"/>
              <w:ind w:right="204"/>
              <w:jc w:val="right"/>
              <w:rPr>
                <w:b/>
                <w:sz w:val="20"/>
              </w:rPr>
            </w:pPr>
            <w:r>
              <w:rPr>
                <w:b/>
                <w:sz w:val="20"/>
              </w:rPr>
              <w:t>Δ8</w:t>
            </w:r>
          </w:p>
        </w:tc>
        <w:tc>
          <w:tcPr>
            <w:tcW w:w="2926" w:type="dxa"/>
          </w:tcPr>
          <w:p>
            <w:pPr>
              <w:pStyle w:val="TableParagraph"/>
              <w:spacing w:line="244" w:lineRule="exact" w:before="139"/>
              <w:ind w:left="107" w:right="468"/>
              <w:rPr>
                <w:sz w:val="20"/>
              </w:rPr>
            </w:pPr>
            <w:r>
              <w:rPr>
                <w:sz w:val="20"/>
              </w:rPr>
              <w:t>Εκμετάλλευση τεχνολογικού πάρκου</w:t>
            </w:r>
          </w:p>
        </w:tc>
        <w:tc>
          <w:tcPr>
            <w:tcW w:w="1575" w:type="dxa"/>
            <w:shd w:val="clear" w:color="auto" w:fill="E36B09"/>
          </w:tcPr>
          <w:p>
            <w:pPr>
              <w:pStyle w:val="TableParagraph"/>
              <w:rPr>
                <w:rFonts w:ascii="Times New Roman"/>
                <w:sz w:val="18"/>
              </w:rPr>
            </w:pPr>
          </w:p>
        </w:tc>
        <w:tc>
          <w:tcPr>
            <w:tcW w:w="1751" w:type="dxa"/>
          </w:tcPr>
          <w:p>
            <w:pPr>
              <w:pStyle w:val="TableParagraph"/>
              <w:rPr>
                <w:rFonts w:ascii="Times New Roman"/>
                <w:sz w:val="18"/>
              </w:rPr>
            </w:pPr>
          </w:p>
        </w:tc>
        <w:tc>
          <w:tcPr>
            <w:tcW w:w="1145" w:type="dxa"/>
          </w:tcPr>
          <w:p>
            <w:pPr>
              <w:pStyle w:val="TableParagraph"/>
              <w:rPr>
                <w:rFonts w:ascii="Times New Roman"/>
                <w:sz w:val="18"/>
              </w:rPr>
            </w:pPr>
          </w:p>
        </w:tc>
        <w:tc>
          <w:tcPr>
            <w:tcW w:w="1143" w:type="dxa"/>
          </w:tcPr>
          <w:p>
            <w:pPr>
              <w:pStyle w:val="TableParagraph"/>
              <w:rPr>
                <w:rFonts w:ascii="Times New Roman"/>
                <w:sz w:val="18"/>
              </w:rPr>
            </w:pPr>
          </w:p>
        </w:tc>
        <w:tc>
          <w:tcPr>
            <w:tcW w:w="1723" w:type="dxa"/>
          </w:tcPr>
          <w:p>
            <w:pPr>
              <w:pStyle w:val="TableParagraph"/>
              <w:rPr>
                <w:rFonts w:ascii="Times New Roman"/>
                <w:sz w:val="18"/>
              </w:rPr>
            </w:pPr>
          </w:p>
        </w:tc>
        <w:tc>
          <w:tcPr>
            <w:tcW w:w="1146" w:type="dxa"/>
          </w:tcPr>
          <w:p>
            <w:pPr>
              <w:pStyle w:val="TableParagraph"/>
              <w:rPr>
                <w:rFonts w:ascii="Times New Roman"/>
                <w:sz w:val="18"/>
              </w:rPr>
            </w:pPr>
          </w:p>
        </w:tc>
        <w:tc>
          <w:tcPr>
            <w:tcW w:w="1156" w:type="dxa"/>
          </w:tcPr>
          <w:p>
            <w:pPr>
              <w:pStyle w:val="TableParagraph"/>
              <w:spacing w:before="144"/>
              <w:ind w:left="383"/>
              <w:rPr>
                <w:sz w:val="20"/>
              </w:rPr>
            </w:pPr>
            <w:r>
              <w:rPr>
                <w:sz w:val="20"/>
              </w:rPr>
              <w:t>150.000</w:t>
            </w:r>
          </w:p>
        </w:tc>
        <w:tc>
          <w:tcPr>
            <w:tcW w:w="1145" w:type="dxa"/>
          </w:tcPr>
          <w:p>
            <w:pPr>
              <w:pStyle w:val="TableParagraph"/>
              <w:rPr>
                <w:rFonts w:ascii="Times New Roman"/>
                <w:sz w:val="18"/>
              </w:rPr>
            </w:pPr>
          </w:p>
        </w:tc>
      </w:tr>
      <w:tr>
        <w:trPr>
          <w:trHeight w:val="508" w:hRule="atLeast"/>
        </w:trPr>
        <w:tc>
          <w:tcPr>
            <w:tcW w:w="3574" w:type="dxa"/>
            <w:gridSpan w:val="2"/>
            <w:shd w:val="clear" w:color="auto" w:fill="D9D9D9"/>
          </w:tcPr>
          <w:p>
            <w:pPr>
              <w:pStyle w:val="TableParagraph"/>
              <w:spacing w:before="144"/>
              <w:ind w:left="107"/>
              <w:rPr>
                <w:b/>
                <w:sz w:val="20"/>
              </w:rPr>
            </w:pPr>
            <w:r>
              <w:rPr>
                <w:b/>
                <w:sz w:val="20"/>
              </w:rPr>
              <w:t>ΣΥΝΟΛΟ ΕΙΣΡΟΩΝ</w:t>
            </w:r>
          </w:p>
        </w:tc>
        <w:tc>
          <w:tcPr>
            <w:tcW w:w="1575" w:type="dxa"/>
            <w:shd w:val="clear" w:color="auto" w:fill="D9D9D9"/>
          </w:tcPr>
          <w:p>
            <w:pPr>
              <w:pStyle w:val="TableParagraph"/>
              <w:rPr>
                <w:rFonts w:ascii="Times New Roman"/>
                <w:sz w:val="18"/>
              </w:rPr>
            </w:pPr>
          </w:p>
        </w:tc>
        <w:tc>
          <w:tcPr>
            <w:tcW w:w="1751" w:type="dxa"/>
            <w:shd w:val="clear" w:color="auto" w:fill="D9D9D9"/>
          </w:tcPr>
          <w:p>
            <w:pPr>
              <w:pStyle w:val="TableParagraph"/>
              <w:rPr>
                <w:rFonts w:ascii="Times New Roman"/>
                <w:sz w:val="18"/>
              </w:rPr>
            </w:pPr>
          </w:p>
        </w:tc>
        <w:tc>
          <w:tcPr>
            <w:tcW w:w="1145" w:type="dxa"/>
            <w:shd w:val="clear" w:color="auto" w:fill="D9D9D9"/>
          </w:tcPr>
          <w:p>
            <w:pPr>
              <w:pStyle w:val="TableParagraph"/>
              <w:spacing w:before="144"/>
              <w:ind w:right="97"/>
              <w:jc w:val="right"/>
              <w:rPr>
                <w:b/>
                <w:sz w:val="20"/>
              </w:rPr>
            </w:pPr>
            <w:r>
              <w:rPr>
                <w:b/>
                <w:sz w:val="20"/>
              </w:rPr>
              <w:t>500.000</w:t>
            </w:r>
          </w:p>
        </w:tc>
        <w:tc>
          <w:tcPr>
            <w:tcW w:w="1143" w:type="dxa"/>
            <w:shd w:val="clear" w:color="auto" w:fill="D9D9D9"/>
          </w:tcPr>
          <w:p>
            <w:pPr>
              <w:pStyle w:val="TableParagraph"/>
              <w:spacing w:before="144"/>
              <w:ind w:right="97"/>
              <w:jc w:val="right"/>
              <w:rPr>
                <w:b/>
                <w:sz w:val="20"/>
              </w:rPr>
            </w:pPr>
            <w:r>
              <w:rPr>
                <w:b/>
                <w:sz w:val="20"/>
              </w:rPr>
              <w:t>1.500.000</w:t>
            </w:r>
          </w:p>
        </w:tc>
        <w:tc>
          <w:tcPr>
            <w:tcW w:w="1723" w:type="dxa"/>
            <w:shd w:val="clear" w:color="auto" w:fill="D9D9D9"/>
          </w:tcPr>
          <w:p>
            <w:pPr>
              <w:pStyle w:val="TableParagraph"/>
              <w:spacing w:before="144"/>
              <w:ind w:right="98"/>
              <w:jc w:val="right"/>
              <w:rPr>
                <w:b/>
                <w:sz w:val="20"/>
              </w:rPr>
            </w:pPr>
            <w:r>
              <w:rPr>
                <w:b/>
                <w:sz w:val="20"/>
              </w:rPr>
              <w:t>1.100.000</w:t>
            </w:r>
          </w:p>
        </w:tc>
        <w:tc>
          <w:tcPr>
            <w:tcW w:w="1146" w:type="dxa"/>
            <w:shd w:val="clear" w:color="auto" w:fill="D9D9D9"/>
          </w:tcPr>
          <w:p>
            <w:pPr>
              <w:pStyle w:val="TableParagraph"/>
              <w:spacing w:before="144"/>
              <w:ind w:right="99"/>
              <w:jc w:val="right"/>
              <w:rPr>
                <w:b/>
                <w:sz w:val="20"/>
              </w:rPr>
            </w:pPr>
            <w:r>
              <w:rPr>
                <w:b/>
                <w:sz w:val="20"/>
              </w:rPr>
              <w:t>1.850.000</w:t>
            </w:r>
          </w:p>
        </w:tc>
        <w:tc>
          <w:tcPr>
            <w:tcW w:w="1156" w:type="dxa"/>
            <w:shd w:val="clear" w:color="auto" w:fill="D9D9D9"/>
          </w:tcPr>
          <w:p>
            <w:pPr>
              <w:pStyle w:val="TableParagraph"/>
              <w:spacing w:before="144"/>
              <w:ind w:left="380"/>
              <w:rPr>
                <w:b/>
                <w:sz w:val="20"/>
              </w:rPr>
            </w:pPr>
            <w:r>
              <w:rPr>
                <w:b/>
                <w:sz w:val="20"/>
              </w:rPr>
              <w:t>150.000</w:t>
            </w:r>
          </w:p>
        </w:tc>
        <w:tc>
          <w:tcPr>
            <w:tcW w:w="1145" w:type="dxa"/>
            <w:shd w:val="clear" w:color="auto" w:fill="D9D9D9"/>
          </w:tcPr>
          <w:p>
            <w:pPr>
              <w:pStyle w:val="TableParagraph"/>
              <w:rPr>
                <w:rFonts w:ascii="Times New Roman"/>
                <w:sz w:val="18"/>
              </w:rPr>
            </w:pPr>
          </w:p>
        </w:tc>
      </w:tr>
      <w:tr>
        <w:trPr>
          <w:trHeight w:val="753" w:hRule="atLeast"/>
        </w:trPr>
        <w:tc>
          <w:tcPr>
            <w:tcW w:w="3574" w:type="dxa"/>
            <w:gridSpan w:val="2"/>
            <w:shd w:val="clear" w:color="auto" w:fill="D9D9D9"/>
          </w:tcPr>
          <w:p>
            <w:pPr>
              <w:pStyle w:val="TableParagraph"/>
              <w:spacing w:before="144"/>
              <w:ind w:left="107" w:right="116"/>
              <w:rPr>
                <w:b/>
                <w:sz w:val="20"/>
              </w:rPr>
            </w:pPr>
            <w:r>
              <w:rPr>
                <w:b/>
                <w:sz w:val="20"/>
              </w:rPr>
              <w:t>ΠΟΣΟΣΤΟ ΕΙΣΡΟΩΝ ΑΠΟ ΟΙΚΟΝΟΜΙΚΕΣ ΔΡΑΣΤΗΡΙΟΤΗΤΕΣ</w:t>
            </w:r>
          </w:p>
        </w:tc>
        <w:tc>
          <w:tcPr>
            <w:tcW w:w="1575" w:type="dxa"/>
            <w:shd w:val="clear" w:color="auto" w:fill="D9D9D9"/>
          </w:tcPr>
          <w:p>
            <w:pPr>
              <w:pStyle w:val="TableParagraph"/>
              <w:rPr>
                <w:rFonts w:ascii="Times New Roman"/>
                <w:sz w:val="18"/>
              </w:rPr>
            </w:pPr>
          </w:p>
        </w:tc>
        <w:tc>
          <w:tcPr>
            <w:tcW w:w="1751" w:type="dxa"/>
            <w:shd w:val="clear" w:color="auto" w:fill="D9D9D9"/>
          </w:tcPr>
          <w:p>
            <w:pPr>
              <w:pStyle w:val="TableParagraph"/>
              <w:rPr>
                <w:rFonts w:ascii="Times New Roman"/>
                <w:sz w:val="18"/>
              </w:rPr>
            </w:pPr>
          </w:p>
        </w:tc>
        <w:tc>
          <w:tcPr>
            <w:tcW w:w="1145" w:type="dxa"/>
            <w:shd w:val="clear" w:color="auto" w:fill="D9D9D9"/>
          </w:tcPr>
          <w:p>
            <w:pPr>
              <w:pStyle w:val="TableParagraph"/>
              <w:spacing w:before="144"/>
              <w:ind w:left="394" w:right="389"/>
              <w:jc w:val="center"/>
              <w:rPr>
                <w:sz w:val="20"/>
              </w:rPr>
            </w:pPr>
            <w:r>
              <w:rPr>
                <w:sz w:val="20"/>
              </w:rPr>
              <w:t>0%</w:t>
            </w:r>
          </w:p>
        </w:tc>
        <w:tc>
          <w:tcPr>
            <w:tcW w:w="1143" w:type="dxa"/>
            <w:shd w:val="clear" w:color="auto" w:fill="D9D9D9"/>
          </w:tcPr>
          <w:p>
            <w:pPr>
              <w:pStyle w:val="TableParagraph"/>
              <w:spacing w:before="144"/>
              <w:ind w:left="376" w:right="371"/>
              <w:jc w:val="center"/>
              <w:rPr>
                <w:sz w:val="20"/>
              </w:rPr>
            </w:pPr>
            <w:r>
              <w:rPr>
                <w:sz w:val="20"/>
              </w:rPr>
              <w:t>40%</w:t>
            </w:r>
          </w:p>
        </w:tc>
        <w:tc>
          <w:tcPr>
            <w:tcW w:w="1723" w:type="dxa"/>
            <w:shd w:val="clear" w:color="auto" w:fill="D9D9D9"/>
          </w:tcPr>
          <w:p>
            <w:pPr>
              <w:pStyle w:val="TableParagraph"/>
              <w:spacing w:before="144"/>
              <w:ind w:left="641" w:right="636"/>
              <w:jc w:val="center"/>
              <w:rPr>
                <w:sz w:val="20"/>
              </w:rPr>
            </w:pPr>
            <w:r>
              <w:rPr>
                <w:sz w:val="20"/>
              </w:rPr>
              <w:t>6,4%</w:t>
            </w:r>
          </w:p>
        </w:tc>
        <w:tc>
          <w:tcPr>
            <w:tcW w:w="1146" w:type="dxa"/>
            <w:shd w:val="clear" w:color="auto" w:fill="D9D9D9"/>
          </w:tcPr>
          <w:p>
            <w:pPr>
              <w:pStyle w:val="TableParagraph"/>
              <w:spacing w:before="144"/>
              <w:ind w:left="427" w:right="424"/>
              <w:jc w:val="center"/>
              <w:rPr>
                <w:sz w:val="20"/>
              </w:rPr>
            </w:pPr>
            <w:r>
              <w:rPr>
                <w:sz w:val="20"/>
              </w:rPr>
              <w:t>0%</w:t>
            </w:r>
          </w:p>
        </w:tc>
        <w:tc>
          <w:tcPr>
            <w:tcW w:w="1156" w:type="dxa"/>
            <w:shd w:val="clear" w:color="auto" w:fill="D9D9D9"/>
          </w:tcPr>
          <w:p>
            <w:pPr>
              <w:pStyle w:val="TableParagraph"/>
              <w:spacing w:before="144"/>
              <w:ind w:left="348"/>
              <w:rPr>
                <w:sz w:val="20"/>
              </w:rPr>
            </w:pPr>
            <w:r>
              <w:rPr>
                <w:sz w:val="20"/>
              </w:rPr>
              <w:t>100%</w:t>
            </w:r>
          </w:p>
        </w:tc>
        <w:tc>
          <w:tcPr>
            <w:tcW w:w="1145" w:type="dxa"/>
            <w:shd w:val="clear" w:color="auto" w:fill="D9D9D9"/>
          </w:tcPr>
          <w:p>
            <w:pPr>
              <w:pStyle w:val="TableParagraph"/>
              <w:spacing w:before="144"/>
              <w:ind w:left="394" w:right="394"/>
              <w:jc w:val="center"/>
              <w:rPr>
                <w:sz w:val="20"/>
              </w:rPr>
            </w:pPr>
            <w:r>
              <w:rPr>
                <w:sz w:val="20"/>
              </w:rPr>
              <w:t>Δ/Α</w:t>
            </w:r>
          </w:p>
        </w:tc>
      </w:tr>
    </w:tbl>
    <w:p>
      <w:pPr>
        <w:pStyle w:val="BodyText"/>
        <w:rPr>
          <w:b/>
          <w:sz w:val="20"/>
        </w:rPr>
      </w:pPr>
    </w:p>
    <w:p>
      <w:pPr>
        <w:pStyle w:val="BodyText"/>
        <w:spacing w:before="3"/>
        <w:rPr>
          <w:b/>
          <w:sz w:val="15"/>
        </w:rPr>
      </w:pPr>
      <w:r>
        <w:rPr/>
        <w:pict>
          <v:line style="position:absolute;mso-position-horizontal-relative:page;mso-position-vertical-relative:paragraph;z-index:-904;mso-wrap-distance-left:0;mso-wrap-distance-right:0" from="62.991001pt,11.672989pt" to="206.991001pt,11.672989pt" stroked="true" strokeweight=".72pt" strokecolor="#000000">
            <v:stroke dashstyle="solid"/>
            <w10:wrap type="topAndBottom"/>
          </v:line>
        </w:pict>
      </w:r>
    </w:p>
    <w:p>
      <w:pPr>
        <w:spacing w:line="261" w:lineRule="exact" w:before="37"/>
        <w:ind w:left="219" w:right="0" w:firstLine="0"/>
        <w:jc w:val="left"/>
        <w:rPr>
          <w:sz w:val="20"/>
        </w:rPr>
      </w:pPr>
      <w:r>
        <w:rPr>
          <w:position w:val="10"/>
          <w:sz w:val="13"/>
        </w:rPr>
        <w:t>5 </w:t>
      </w:r>
      <w:r>
        <w:rPr>
          <w:sz w:val="20"/>
        </w:rPr>
        <w:t>Οριζόντιες οργανωτικές μονάδες λειτουργικής υποστήριξης (π.χ. Ε.Λ.Κ.Ε.)</w:t>
      </w:r>
    </w:p>
    <w:p>
      <w:pPr>
        <w:spacing w:line="244" w:lineRule="exact" w:before="0"/>
        <w:ind w:left="219" w:right="0" w:firstLine="0"/>
        <w:jc w:val="left"/>
        <w:rPr>
          <w:sz w:val="20"/>
        </w:rPr>
      </w:pPr>
      <w:r>
        <w:rPr>
          <w:position w:val="10"/>
          <w:sz w:val="13"/>
        </w:rPr>
        <w:t>6 </w:t>
      </w:r>
      <w:r>
        <w:rPr>
          <w:sz w:val="20"/>
        </w:rPr>
        <w:t>Υπό την προϋπόθεση ότι στο εταιρικό σχήμα δε συμμετέχουν επιχειρήσεις και το σύνολο των κερδών επανεπενδύεται στις κύριες μη οικονομικές δραστηριότητες του φορέα</w:t>
      </w:r>
    </w:p>
    <w:p>
      <w:pPr>
        <w:spacing w:line="261" w:lineRule="exact" w:before="0"/>
        <w:ind w:left="219" w:right="0" w:firstLine="0"/>
        <w:jc w:val="left"/>
        <w:rPr>
          <w:sz w:val="20"/>
        </w:rPr>
      </w:pPr>
      <w:r>
        <w:rPr>
          <w:position w:val="10"/>
          <w:sz w:val="13"/>
        </w:rPr>
        <w:t>7 </w:t>
      </w:r>
      <w:r>
        <w:rPr>
          <w:sz w:val="20"/>
        </w:rPr>
        <w:t>Υπό την προϋπόθεση ότι το σύνολο των κερδών επανεπενδύεται στις κύριες μη οικονομικές δραστηριότητες του φορέα</w:t>
      </w:r>
    </w:p>
    <w:p>
      <w:pPr>
        <w:pStyle w:val="BodyText"/>
        <w:spacing w:before="7"/>
        <w:rPr>
          <w:sz w:val="18"/>
        </w:rPr>
      </w:pPr>
    </w:p>
    <w:p>
      <w:pPr>
        <w:spacing w:before="60"/>
        <w:ind w:left="220" w:right="0" w:firstLine="0"/>
        <w:jc w:val="center"/>
        <w:rPr>
          <w:sz w:val="20"/>
        </w:rPr>
      </w:pPr>
      <w:r>
        <w:rPr>
          <w:w w:val="100"/>
          <w:sz w:val="20"/>
        </w:rPr>
        <w:t>8</w:t>
      </w:r>
    </w:p>
    <w:p>
      <w:pPr>
        <w:spacing w:after="0"/>
        <w:jc w:val="center"/>
        <w:rPr>
          <w:sz w:val="20"/>
        </w:rPr>
        <w:sectPr>
          <w:footerReference w:type="default" r:id="rId6"/>
          <w:pgSz w:w="16840" w:h="11910" w:orient="landscape"/>
          <w:pgMar w:footer="0" w:header="0" w:top="1100" w:bottom="280" w:left="1040" w:right="1180"/>
        </w:sectPr>
      </w:pPr>
    </w:p>
    <w:p>
      <w:pPr>
        <w:pStyle w:val="BodyText"/>
        <w:spacing w:line="268" w:lineRule="auto" w:before="30"/>
        <w:ind w:left="106" w:right="102" w:firstLine="709"/>
        <w:jc w:val="both"/>
      </w:pPr>
      <w:r>
        <w:rPr/>
        <w:t>Εφόσον τεκμηριώνεται ο σαφής διαχωρισμός των δραστηριοτήτων των οικονομικών οντοτήτων Α‐Ζ του φορέα του παραδείγματος, η υποχρέωση υποβολής Ετήσιας Αναφοράς Επιμερισμού της Δυναμικότητας περιορίζεται στις οικονομικές οντότητες Β και Γ. Με βάση τα στοιχεία που δίνονται, οι οντότητες Β και Γ είναι οι μόνες οι οποίες εμφανίζουν τόσο οικονομικές, όσο και μη οικονομικές δραστηριότητες και έχει γίνει η παραδοχή ότι και οι δύο λαμβάνουν χρηματοδότηση από το ΕΠΑνΕΚ. Ακολουθεί ενδεικτικός τρόπος για την αποτύπωση του επιμερισμού του ανθρώπινου δυναμικού μεταξύ οικονομικών και μη οικονομικών δραστηριοτήτων.</w:t>
      </w:r>
    </w:p>
    <w:p>
      <w:pPr>
        <w:pStyle w:val="BodyText"/>
        <w:spacing w:before="5"/>
        <w:rPr>
          <w:sz w:val="31"/>
        </w:rPr>
      </w:pPr>
    </w:p>
    <w:p>
      <w:pPr>
        <w:spacing w:before="0"/>
        <w:ind w:left="1760" w:right="0" w:firstLine="0"/>
        <w:jc w:val="left"/>
        <w:rPr>
          <w:b/>
          <w:sz w:val="20"/>
        </w:rPr>
      </w:pPr>
      <w:r>
        <w:rPr>
          <w:b/>
          <w:sz w:val="20"/>
        </w:rPr>
        <w:t>ΠΙΝΑΚΑΣ ΕΠΙΜΕΡΙΣΜΟΥ ΔΥΝΑΜΙΚΟΤΗΤΑΣ (ποσότητες σε ανθρωποώρες)</w:t>
      </w:r>
    </w:p>
    <w:p>
      <w:pPr>
        <w:pStyle w:val="BodyText"/>
        <w:spacing w:before="3"/>
        <w:rPr>
          <w:b/>
          <w:sz w:val="17"/>
        </w:rPr>
      </w:pPr>
    </w:p>
    <w:tbl>
      <w:tblPr>
        <w:tblW w:w="0" w:type="auto"/>
        <w:jc w:val="left"/>
        <w:tblInd w:w="40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top w:w="0" w:type="dxa"/>
          <w:left w:w="0" w:type="dxa"/>
          <w:bottom w:w="0" w:type="dxa"/>
          <w:right w:w="0" w:type="dxa"/>
        </w:tblCellMar>
        <w:tblLook w:val="01E0"/>
      </w:tblPr>
      <w:tblGrid>
        <w:gridCol w:w="443"/>
        <w:gridCol w:w="2818"/>
        <w:gridCol w:w="927"/>
        <w:gridCol w:w="1264"/>
        <w:gridCol w:w="1265"/>
        <w:gridCol w:w="1068"/>
        <w:gridCol w:w="1069"/>
      </w:tblGrid>
      <w:tr>
        <w:trPr>
          <w:trHeight w:val="493" w:hRule="atLeast"/>
        </w:trPr>
        <w:tc>
          <w:tcPr>
            <w:tcW w:w="443" w:type="dxa"/>
            <w:tcBorders>
              <w:bottom w:val="single" w:sz="4" w:space="0" w:color="000000"/>
            </w:tcBorders>
            <w:shd w:val="clear" w:color="auto" w:fill="E0E0E0"/>
          </w:tcPr>
          <w:p>
            <w:pPr>
              <w:pStyle w:val="TableParagraph"/>
              <w:rPr>
                <w:rFonts w:ascii="Times New Roman"/>
                <w:sz w:val="20"/>
              </w:rPr>
            </w:pPr>
          </w:p>
        </w:tc>
        <w:tc>
          <w:tcPr>
            <w:tcW w:w="2818" w:type="dxa"/>
            <w:tcBorders>
              <w:bottom w:val="single" w:sz="4" w:space="0" w:color="000000"/>
            </w:tcBorders>
            <w:shd w:val="clear" w:color="auto" w:fill="E0E0E0"/>
          </w:tcPr>
          <w:p>
            <w:pPr>
              <w:pStyle w:val="TableParagraph"/>
              <w:rPr>
                <w:rFonts w:ascii="Times New Roman"/>
                <w:sz w:val="20"/>
              </w:rPr>
            </w:pPr>
          </w:p>
        </w:tc>
        <w:tc>
          <w:tcPr>
            <w:tcW w:w="927" w:type="dxa"/>
            <w:tcBorders>
              <w:bottom w:val="single" w:sz="4" w:space="0" w:color="000000"/>
            </w:tcBorders>
            <w:shd w:val="clear" w:color="auto" w:fill="E0E0E0"/>
          </w:tcPr>
          <w:p>
            <w:pPr>
              <w:pStyle w:val="TableParagraph"/>
              <w:rPr>
                <w:rFonts w:ascii="Times New Roman"/>
                <w:sz w:val="20"/>
              </w:rPr>
            </w:pPr>
          </w:p>
        </w:tc>
        <w:tc>
          <w:tcPr>
            <w:tcW w:w="1264" w:type="dxa"/>
            <w:tcBorders>
              <w:bottom w:val="single" w:sz="4" w:space="0" w:color="000000"/>
              <w:right w:val="single" w:sz="4" w:space="0" w:color="000000"/>
            </w:tcBorders>
            <w:shd w:val="clear" w:color="auto" w:fill="E0E0E0"/>
          </w:tcPr>
          <w:p>
            <w:pPr>
              <w:pStyle w:val="TableParagraph"/>
              <w:rPr>
                <w:rFonts w:ascii="Times New Roman"/>
                <w:sz w:val="20"/>
              </w:rPr>
            </w:pPr>
          </w:p>
        </w:tc>
        <w:tc>
          <w:tcPr>
            <w:tcW w:w="1265" w:type="dxa"/>
            <w:tcBorders>
              <w:left w:val="single" w:sz="4" w:space="0" w:color="000000"/>
              <w:bottom w:val="single" w:sz="4" w:space="0" w:color="000000"/>
            </w:tcBorders>
            <w:shd w:val="clear" w:color="auto" w:fill="E0E0E0"/>
          </w:tcPr>
          <w:p>
            <w:pPr>
              <w:pStyle w:val="TableParagraph"/>
              <w:rPr>
                <w:rFonts w:ascii="Times New Roman"/>
                <w:sz w:val="20"/>
              </w:rPr>
            </w:pPr>
          </w:p>
        </w:tc>
        <w:tc>
          <w:tcPr>
            <w:tcW w:w="1068" w:type="dxa"/>
            <w:tcBorders>
              <w:bottom w:val="single" w:sz="4" w:space="0" w:color="000000"/>
              <w:right w:val="single" w:sz="4" w:space="0" w:color="000000"/>
            </w:tcBorders>
            <w:shd w:val="clear" w:color="auto" w:fill="E0E0E0"/>
          </w:tcPr>
          <w:p>
            <w:pPr>
              <w:pStyle w:val="TableParagraph"/>
              <w:spacing w:before="121"/>
              <w:ind w:right="1"/>
              <w:jc w:val="center"/>
              <w:rPr>
                <w:b/>
                <w:sz w:val="18"/>
              </w:rPr>
            </w:pPr>
            <w:r>
              <w:rPr>
                <w:b/>
                <w:sz w:val="18"/>
              </w:rPr>
              <w:t>Β</w:t>
            </w:r>
          </w:p>
        </w:tc>
        <w:tc>
          <w:tcPr>
            <w:tcW w:w="1069" w:type="dxa"/>
            <w:tcBorders>
              <w:left w:val="single" w:sz="4" w:space="0" w:color="000000"/>
              <w:bottom w:val="single" w:sz="4" w:space="0" w:color="000000"/>
            </w:tcBorders>
            <w:shd w:val="clear" w:color="auto" w:fill="E0E0E0"/>
          </w:tcPr>
          <w:p>
            <w:pPr>
              <w:pStyle w:val="TableParagraph"/>
              <w:spacing w:before="121"/>
              <w:ind w:left="16"/>
              <w:jc w:val="center"/>
              <w:rPr>
                <w:b/>
                <w:sz w:val="18"/>
              </w:rPr>
            </w:pPr>
            <w:r>
              <w:rPr>
                <w:b/>
                <w:sz w:val="18"/>
              </w:rPr>
              <w:t>Γ</w:t>
            </w:r>
          </w:p>
        </w:tc>
      </w:tr>
      <w:tr>
        <w:trPr>
          <w:trHeight w:val="548" w:hRule="atLeast"/>
        </w:trPr>
        <w:tc>
          <w:tcPr>
            <w:tcW w:w="443" w:type="dxa"/>
            <w:tcBorders>
              <w:top w:val="single" w:sz="4" w:space="0" w:color="000000"/>
            </w:tcBorders>
            <w:shd w:val="clear" w:color="auto" w:fill="E0E0E0"/>
          </w:tcPr>
          <w:p>
            <w:pPr>
              <w:pStyle w:val="TableParagraph"/>
              <w:rPr>
                <w:rFonts w:ascii="Times New Roman"/>
                <w:sz w:val="20"/>
              </w:rPr>
            </w:pPr>
          </w:p>
        </w:tc>
        <w:tc>
          <w:tcPr>
            <w:tcW w:w="2818" w:type="dxa"/>
            <w:tcBorders>
              <w:top w:val="single" w:sz="4" w:space="0" w:color="000000"/>
            </w:tcBorders>
            <w:shd w:val="clear" w:color="auto" w:fill="E0E0E0"/>
          </w:tcPr>
          <w:p>
            <w:pPr>
              <w:pStyle w:val="TableParagraph"/>
              <w:spacing w:before="120"/>
              <w:ind w:left="259"/>
              <w:rPr>
                <w:b/>
                <w:sz w:val="18"/>
              </w:rPr>
            </w:pPr>
            <w:r>
              <w:rPr>
                <w:b/>
                <w:sz w:val="18"/>
              </w:rPr>
              <w:t>ΠΕΡΙΓΡΑΦΗ ΔΡΑΣΤΗΡΙΟΤΗΤΑΣ</w:t>
            </w:r>
          </w:p>
        </w:tc>
        <w:tc>
          <w:tcPr>
            <w:tcW w:w="927" w:type="dxa"/>
            <w:tcBorders>
              <w:top w:val="single" w:sz="4" w:space="0" w:color="000000"/>
            </w:tcBorders>
            <w:shd w:val="clear" w:color="auto" w:fill="E0E0E0"/>
          </w:tcPr>
          <w:p>
            <w:pPr>
              <w:pStyle w:val="TableParagraph"/>
              <w:spacing w:before="120"/>
              <w:ind w:left="117" w:right="111"/>
              <w:jc w:val="center"/>
              <w:rPr>
                <w:b/>
                <w:sz w:val="18"/>
              </w:rPr>
            </w:pPr>
            <w:r>
              <w:rPr>
                <w:b/>
                <w:sz w:val="18"/>
              </w:rPr>
              <w:t>ΕΡΓΑ</w:t>
            </w:r>
          </w:p>
        </w:tc>
        <w:tc>
          <w:tcPr>
            <w:tcW w:w="1264" w:type="dxa"/>
            <w:tcBorders>
              <w:top w:val="single" w:sz="4" w:space="0" w:color="000000"/>
              <w:right w:val="single" w:sz="4" w:space="0" w:color="000000"/>
            </w:tcBorders>
            <w:shd w:val="clear" w:color="auto" w:fill="E0E0E0"/>
          </w:tcPr>
          <w:p>
            <w:pPr>
              <w:pStyle w:val="TableParagraph"/>
              <w:spacing w:before="120"/>
              <w:ind w:left="96"/>
              <w:rPr>
                <w:b/>
                <w:sz w:val="18"/>
              </w:rPr>
            </w:pPr>
            <w:r>
              <w:rPr>
                <w:b/>
                <w:sz w:val="18"/>
              </w:rPr>
              <w:t>ΟΙΚΟΝΟΜΙΚΗ</w:t>
            </w:r>
          </w:p>
        </w:tc>
        <w:tc>
          <w:tcPr>
            <w:tcW w:w="1265" w:type="dxa"/>
            <w:tcBorders>
              <w:top w:val="single" w:sz="4" w:space="0" w:color="000000"/>
              <w:left w:val="single" w:sz="4" w:space="0" w:color="000000"/>
            </w:tcBorders>
            <w:shd w:val="clear" w:color="auto" w:fill="E0E0E0"/>
          </w:tcPr>
          <w:p>
            <w:pPr>
              <w:pStyle w:val="TableParagraph"/>
              <w:spacing w:line="220" w:lineRule="atLeast" w:before="119"/>
              <w:ind w:left="106" w:right="71" w:firstLine="387"/>
              <w:rPr>
                <w:b/>
                <w:sz w:val="18"/>
              </w:rPr>
            </w:pPr>
            <w:r>
              <w:rPr>
                <w:b/>
                <w:sz w:val="18"/>
              </w:rPr>
              <w:t>ΜΗ ΟΙΚΟΝΟΜΙΚΗ</w:t>
            </w:r>
          </w:p>
        </w:tc>
        <w:tc>
          <w:tcPr>
            <w:tcW w:w="1068" w:type="dxa"/>
            <w:tcBorders>
              <w:top w:val="single" w:sz="4" w:space="0" w:color="000000"/>
              <w:right w:val="single" w:sz="4" w:space="0" w:color="000000"/>
            </w:tcBorders>
            <w:shd w:val="clear" w:color="auto" w:fill="E0E0E0"/>
          </w:tcPr>
          <w:p>
            <w:pPr>
              <w:pStyle w:val="TableParagraph"/>
              <w:spacing w:line="220" w:lineRule="atLeast" w:before="119"/>
              <w:ind w:left="129" w:right="80" w:hanging="34"/>
              <w:rPr>
                <w:b/>
                <w:sz w:val="18"/>
              </w:rPr>
            </w:pPr>
            <w:r>
              <w:rPr>
                <w:b/>
                <w:sz w:val="18"/>
              </w:rPr>
              <w:t>Ερευνητικό Ινστιτούτο</w:t>
            </w:r>
          </w:p>
        </w:tc>
        <w:tc>
          <w:tcPr>
            <w:tcW w:w="1069" w:type="dxa"/>
            <w:tcBorders>
              <w:top w:val="single" w:sz="4" w:space="0" w:color="000000"/>
              <w:left w:val="single" w:sz="4" w:space="0" w:color="000000"/>
            </w:tcBorders>
            <w:shd w:val="clear" w:color="auto" w:fill="E0E0E0"/>
          </w:tcPr>
          <w:p>
            <w:pPr>
              <w:pStyle w:val="TableParagraph"/>
              <w:spacing w:line="220" w:lineRule="atLeast" w:before="119"/>
              <w:ind w:left="139" w:right="71" w:hanging="34"/>
              <w:rPr>
                <w:b/>
                <w:sz w:val="18"/>
              </w:rPr>
            </w:pPr>
            <w:r>
              <w:rPr>
                <w:b/>
                <w:sz w:val="18"/>
              </w:rPr>
              <w:t>Ερευνητικό Ινστιτούτο</w:t>
            </w:r>
          </w:p>
        </w:tc>
      </w:tr>
      <w:tr>
        <w:trPr>
          <w:trHeight w:val="388" w:hRule="atLeast"/>
        </w:trPr>
        <w:tc>
          <w:tcPr>
            <w:tcW w:w="443" w:type="dxa"/>
            <w:tcBorders>
              <w:bottom w:val="single" w:sz="4" w:space="0" w:color="000000"/>
              <w:right w:val="single" w:sz="4" w:space="0" w:color="000000"/>
            </w:tcBorders>
          </w:tcPr>
          <w:p>
            <w:pPr>
              <w:pStyle w:val="TableParagraph"/>
              <w:spacing w:line="225" w:lineRule="exact" w:before="143"/>
              <w:ind w:left="97"/>
              <w:rPr>
                <w:b/>
                <w:sz w:val="20"/>
              </w:rPr>
            </w:pPr>
            <w:r>
              <w:rPr>
                <w:b/>
                <w:sz w:val="20"/>
              </w:rPr>
              <w:t>Δ1</w:t>
            </w:r>
          </w:p>
        </w:tc>
        <w:tc>
          <w:tcPr>
            <w:tcW w:w="2818" w:type="dxa"/>
            <w:tcBorders>
              <w:left w:val="single" w:sz="4" w:space="0" w:color="000000"/>
              <w:bottom w:val="single" w:sz="4" w:space="0" w:color="000000"/>
            </w:tcBorders>
          </w:tcPr>
          <w:p>
            <w:pPr>
              <w:pStyle w:val="TableParagraph"/>
              <w:spacing w:line="225" w:lineRule="exact" w:before="143"/>
              <w:ind w:left="98"/>
              <w:rPr>
                <w:sz w:val="20"/>
              </w:rPr>
            </w:pPr>
            <w:r>
              <w:rPr>
                <w:sz w:val="20"/>
              </w:rPr>
              <w:t>Τεχνοβλαστός (spin‐off)</w:t>
            </w:r>
          </w:p>
        </w:tc>
        <w:tc>
          <w:tcPr>
            <w:tcW w:w="927" w:type="dxa"/>
            <w:tcBorders>
              <w:bottom w:val="single" w:sz="4" w:space="0" w:color="000000"/>
            </w:tcBorders>
          </w:tcPr>
          <w:p>
            <w:pPr>
              <w:pStyle w:val="TableParagraph"/>
              <w:rPr>
                <w:rFonts w:ascii="Times New Roman"/>
                <w:sz w:val="20"/>
              </w:rPr>
            </w:pPr>
          </w:p>
        </w:tc>
        <w:tc>
          <w:tcPr>
            <w:tcW w:w="1264" w:type="dxa"/>
            <w:tcBorders>
              <w:bottom w:val="single" w:sz="4" w:space="0" w:color="000000"/>
              <w:right w:val="single" w:sz="4" w:space="0" w:color="000000"/>
            </w:tcBorders>
          </w:tcPr>
          <w:p>
            <w:pPr>
              <w:pStyle w:val="TableParagraph"/>
              <w:rPr>
                <w:rFonts w:ascii="Times New Roman"/>
                <w:sz w:val="20"/>
              </w:rPr>
            </w:pPr>
          </w:p>
        </w:tc>
        <w:tc>
          <w:tcPr>
            <w:tcW w:w="1265" w:type="dxa"/>
            <w:tcBorders>
              <w:left w:val="single" w:sz="4" w:space="0" w:color="000000"/>
              <w:bottom w:val="single" w:sz="4" w:space="0" w:color="000000"/>
            </w:tcBorders>
            <w:shd w:val="clear" w:color="auto" w:fill="FF6500"/>
          </w:tcPr>
          <w:p>
            <w:pPr>
              <w:pStyle w:val="TableParagraph"/>
              <w:rPr>
                <w:rFonts w:ascii="Times New Roman"/>
                <w:sz w:val="20"/>
              </w:rPr>
            </w:pPr>
          </w:p>
        </w:tc>
        <w:tc>
          <w:tcPr>
            <w:tcW w:w="1068" w:type="dxa"/>
            <w:tcBorders>
              <w:bottom w:val="single" w:sz="4" w:space="0" w:color="000000"/>
              <w:right w:val="single" w:sz="4" w:space="0" w:color="000000"/>
            </w:tcBorders>
          </w:tcPr>
          <w:p>
            <w:pPr>
              <w:pStyle w:val="TableParagraph"/>
              <w:rPr>
                <w:rFonts w:ascii="Times New Roman"/>
                <w:sz w:val="20"/>
              </w:rPr>
            </w:pPr>
          </w:p>
        </w:tc>
        <w:tc>
          <w:tcPr>
            <w:tcW w:w="1069" w:type="dxa"/>
            <w:tcBorders>
              <w:left w:val="single" w:sz="4" w:space="0" w:color="000000"/>
              <w:bottom w:val="single" w:sz="4" w:space="0" w:color="000000"/>
            </w:tcBorders>
          </w:tcPr>
          <w:p>
            <w:pPr>
              <w:pStyle w:val="TableParagraph"/>
              <w:rPr>
                <w:rFonts w:ascii="Times New Roman"/>
                <w:sz w:val="20"/>
              </w:rPr>
            </w:pPr>
          </w:p>
        </w:tc>
      </w:tr>
      <w:tr>
        <w:trPr>
          <w:trHeight w:val="387" w:hRule="atLeast"/>
        </w:trPr>
        <w:tc>
          <w:tcPr>
            <w:tcW w:w="443" w:type="dxa"/>
            <w:vMerge w:val="restart"/>
            <w:tcBorders>
              <w:top w:val="single" w:sz="4" w:space="0" w:color="000000"/>
              <w:bottom w:val="single" w:sz="4" w:space="0" w:color="000000"/>
              <w:right w:val="single" w:sz="4" w:space="0" w:color="000000"/>
            </w:tcBorders>
          </w:tcPr>
          <w:p>
            <w:pPr>
              <w:pStyle w:val="TableParagraph"/>
              <w:spacing w:before="143"/>
              <w:ind w:left="97"/>
              <w:rPr>
                <w:b/>
                <w:sz w:val="20"/>
              </w:rPr>
            </w:pPr>
            <w:r>
              <w:rPr>
                <w:b/>
                <w:sz w:val="20"/>
              </w:rPr>
              <w:t>Δ2</w:t>
            </w:r>
          </w:p>
        </w:tc>
        <w:tc>
          <w:tcPr>
            <w:tcW w:w="2818" w:type="dxa"/>
            <w:vMerge w:val="restart"/>
            <w:tcBorders>
              <w:top w:val="single" w:sz="4" w:space="0" w:color="000000"/>
              <w:left w:val="single" w:sz="4" w:space="0" w:color="000000"/>
              <w:bottom w:val="single" w:sz="4" w:space="0" w:color="000000"/>
            </w:tcBorders>
          </w:tcPr>
          <w:p>
            <w:pPr>
              <w:pStyle w:val="TableParagraph"/>
              <w:spacing w:before="143"/>
              <w:ind w:left="98" w:right="364"/>
              <w:rPr>
                <w:sz w:val="20"/>
              </w:rPr>
            </w:pPr>
            <w:r>
              <w:rPr>
                <w:sz w:val="20"/>
              </w:rPr>
              <w:t>Παροχή υπηρεσιών έρευνας μέσω χημικών αναλύσεων</w:t>
            </w:r>
          </w:p>
        </w:tc>
        <w:tc>
          <w:tcPr>
            <w:tcW w:w="927" w:type="dxa"/>
            <w:tcBorders>
              <w:top w:val="single" w:sz="4" w:space="0" w:color="000000"/>
              <w:bottom w:val="single" w:sz="4" w:space="0" w:color="000000"/>
            </w:tcBorders>
          </w:tcPr>
          <w:p>
            <w:pPr>
              <w:pStyle w:val="TableParagraph"/>
              <w:spacing w:line="224" w:lineRule="exact" w:before="143"/>
              <w:ind w:left="118" w:right="111"/>
              <w:jc w:val="center"/>
              <w:rPr>
                <w:sz w:val="20"/>
              </w:rPr>
            </w:pPr>
            <w:r>
              <w:rPr>
                <w:sz w:val="20"/>
              </w:rPr>
              <w:t>ΕΡΓΟ Ι</w:t>
            </w:r>
          </w:p>
        </w:tc>
        <w:tc>
          <w:tcPr>
            <w:tcW w:w="1264" w:type="dxa"/>
            <w:tcBorders>
              <w:top w:val="single" w:sz="4" w:space="0" w:color="000000"/>
              <w:bottom w:val="single" w:sz="4" w:space="0" w:color="000000"/>
              <w:right w:val="single" w:sz="4" w:space="0" w:color="000000"/>
            </w:tcBorders>
            <w:shd w:val="clear" w:color="auto" w:fill="FF6500"/>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spacing w:line="224" w:lineRule="exact" w:before="143"/>
              <w:ind w:left="223" w:right="224"/>
              <w:jc w:val="center"/>
              <w:rPr>
                <w:sz w:val="20"/>
              </w:rPr>
            </w:pPr>
            <w:r>
              <w:rPr>
                <w:sz w:val="20"/>
              </w:rPr>
              <w:t>8.600</w:t>
            </w:r>
          </w:p>
        </w:tc>
        <w:tc>
          <w:tcPr>
            <w:tcW w:w="1069"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411" w:hRule="atLeast"/>
        </w:trPr>
        <w:tc>
          <w:tcPr>
            <w:tcW w:w="443" w:type="dxa"/>
            <w:vMerge/>
            <w:tcBorders>
              <w:top w:val="nil"/>
              <w:bottom w:val="single" w:sz="4" w:space="0" w:color="000000"/>
              <w:right w:val="single" w:sz="4" w:space="0" w:color="000000"/>
            </w:tcBorders>
          </w:tcPr>
          <w:p>
            <w:pPr>
              <w:rPr>
                <w:sz w:val="2"/>
                <w:szCs w:val="2"/>
              </w:rPr>
            </w:pPr>
          </w:p>
        </w:tc>
        <w:tc>
          <w:tcPr>
            <w:tcW w:w="2818" w:type="dxa"/>
            <w:vMerge/>
            <w:tcBorders>
              <w:top w:val="nil"/>
              <w:left w:val="single" w:sz="4" w:space="0" w:color="000000"/>
              <w:bottom w:val="single" w:sz="4" w:space="0" w:color="000000"/>
            </w:tcBorders>
          </w:tcPr>
          <w:p>
            <w:pPr>
              <w:rPr>
                <w:sz w:val="2"/>
                <w:szCs w:val="2"/>
              </w:rPr>
            </w:pPr>
          </w:p>
        </w:tc>
        <w:tc>
          <w:tcPr>
            <w:tcW w:w="927" w:type="dxa"/>
            <w:tcBorders>
              <w:top w:val="single" w:sz="4" w:space="0" w:color="000000"/>
              <w:bottom w:val="single" w:sz="4" w:space="0" w:color="000000"/>
            </w:tcBorders>
          </w:tcPr>
          <w:p>
            <w:pPr>
              <w:pStyle w:val="TableParagraph"/>
              <w:spacing w:before="144"/>
              <w:ind w:left="118" w:right="111"/>
              <w:jc w:val="center"/>
              <w:rPr>
                <w:sz w:val="20"/>
              </w:rPr>
            </w:pPr>
            <w:r>
              <w:rPr>
                <w:sz w:val="20"/>
              </w:rPr>
              <w:t>ΕΡΓΟ ΙΙ</w:t>
            </w:r>
          </w:p>
        </w:tc>
        <w:tc>
          <w:tcPr>
            <w:tcW w:w="1264" w:type="dxa"/>
            <w:tcBorders>
              <w:top w:val="single" w:sz="4" w:space="0" w:color="000000"/>
              <w:bottom w:val="single" w:sz="4" w:space="0" w:color="000000"/>
              <w:right w:val="single" w:sz="4" w:space="0" w:color="000000"/>
            </w:tcBorders>
            <w:shd w:val="clear" w:color="auto" w:fill="FF6500"/>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spacing w:before="144"/>
              <w:ind w:left="223" w:right="224"/>
              <w:jc w:val="center"/>
              <w:rPr>
                <w:sz w:val="20"/>
              </w:rPr>
            </w:pPr>
            <w:r>
              <w:rPr>
                <w:sz w:val="20"/>
              </w:rPr>
              <w:t>8.600</w:t>
            </w:r>
          </w:p>
        </w:tc>
        <w:tc>
          <w:tcPr>
            <w:tcW w:w="1069"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633" w:hRule="atLeast"/>
        </w:trPr>
        <w:tc>
          <w:tcPr>
            <w:tcW w:w="443" w:type="dxa"/>
            <w:tcBorders>
              <w:top w:val="single" w:sz="4" w:space="0" w:color="000000"/>
              <w:bottom w:val="single" w:sz="4" w:space="0" w:color="000000"/>
              <w:right w:val="single" w:sz="4" w:space="0" w:color="000000"/>
            </w:tcBorders>
          </w:tcPr>
          <w:p>
            <w:pPr>
              <w:pStyle w:val="TableParagraph"/>
              <w:spacing w:before="144"/>
              <w:ind w:left="97"/>
              <w:rPr>
                <w:b/>
                <w:sz w:val="20"/>
              </w:rPr>
            </w:pPr>
            <w:r>
              <w:rPr>
                <w:b/>
                <w:sz w:val="20"/>
              </w:rPr>
              <w:t>Δ3</w:t>
            </w:r>
          </w:p>
        </w:tc>
        <w:tc>
          <w:tcPr>
            <w:tcW w:w="2818" w:type="dxa"/>
            <w:tcBorders>
              <w:top w:val="single" w:sz="4" w:space="0" w:color="000000"/>
              <w:left w:val="single" w:sz="4" w:space="0" w:color="000000"/>
              <w:bottom w:val="single" w:sz="4" w:space="0" w:color="000000"/>
            </w:tcBorders>
          </w:tcPr>
          <w:p>
            <w:pPr>
              <w:pStyle w:val="TableParagraph"/>
              <w:spacing w:line="244" w:lineRule="exact" w:before="144"/>
              <w:ind w:left="98"/>
              <w:rPr>
                <w:sz w:val="20"/>
              </w:rPr>
            </w:pPr>
            <w:r>
              <w:rPr>
                <w:sz w:val="20"/>
              </w:rPr>
              <w:t>Συνεργατική Ε&amp;Α</w:t>
            </w:r>
          </w:p>
          <w:p>
            <w:pPr>
              <w:pStyle w:val="TableParagraph"/>
              <w:spacing w:line="225" w:lineRule="exact"/>
              <w:ind w:left="97"/>
              <w:rPr>
                <w:sz w:val="20"/>
              </w:rPr>
            </w:pPr>
            <w:r>
              <w:rPr>
                <w:sz w:val="20"/>
              </w:rPr>
              <w:t>(πραγματική συνεργασία)</w:t>
            </w:r>
          </w:p>
        </w:tc>
        <w:tc>
          <w:tcPr>
            <w:tcW w:w="927" w:type="dxa"/>
            <w:tcBorders>
              <w:top w:val="single" w:sz="4" w:space="0" w:color="000000"/>
              <w:bottom w:val="single" w:sz="4" w:space="0" w:color="000000"/>
            </w:tcBorders>
          </w:tcPr>
          <w:p>
            <w:pPr>
              <w:pStyle w:val="TableParagraph"/>
              <w:rPr>
                <w:rFonts w:ascii="Times New Roman"/>
                <w:sz w:val="20"/>
              </w:rPr>
            </w:pPr>
          </w:p>
        </w:tc>
        <w:tc>
          <w:tcPr>
            <w:tcW w:w="1264"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shd w:val="clear" w:color="auto" w:fill="FF6500"/>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spacing w:before="144"/>
              <w:ind w:left="223" w:right="224"/>
              <w:jc w:val="center"/>
              <w:rPr>
                <w:sz w:val="20"/>
              </w:rPr>
            </w:pPr>
            <w:r>
              <w:rPr>
                <w:sz w:val="20"/>
              </w:rPr>
              <w:t>12.800</w:t>
            </w:r>
          </w:p>
        </w:tc>
        <w:tc>
          <w:tcPr>
            <w:tcW w:w="1069" w:type="dxa"/>
            <w:tcBorders>
              <w:top w:val="single" w:sz="4" w:space="0" w:color="000000"/>
              <w:left w:val="single" w:sz="4" w:space="0" w:color="000000"/>
              <w:bottom w:val="single" w:sz="4" w:space="0" w:color="000000"/>
            </w:tcBorders>
          </w:tcPr>
          <w:p>
            <w:pPr>
              <w:pStyle w:val="TableParagraph"/>
              <w:rPr>
                <w:rFonts w:ascii="Times New Roman"/>
                <w:sz w:val="20"/>
              </w:rPr>
            </w:pPr>
          </w:p>
        </w:tc>
      </w:tr>
      <w:tr>
        <w:trPr>
          <w:trHeight w:val="631" w:hRule="atLeast"/>
        </w:trPr>
        <w:tc>
          <w:tcPr>
            <w:tcW w:w="443" w:type="dxa"/>
            <w:tcBorders>
              <w:top w:val="single" w:sz="4" w:space="0" w:color="000000"/>
              <w:bottom w:val="single" w:sz="4" w:space="0" w:color="000000"/>
              <w:right w:val="single" w:sz="4" w:space="0" w:color="000000"/>
            </w:tcBorders>
          </w:tcPr>
          <w:p>
            <w:pPr>
              <w:pStyle w:val="TableParagraph"/>
              <w:spacing w:before="143"/>
              <w:ind w:left="97"/>
              <w:rPr>
                <w:b/>
                <w:sz w:val="20"/>
              </w:rPr>
            </w:pPr>
            <w:r>
              <w:rPr>
                <w:b/>
                <w:sz w:val="20"/>
              </w:rPr>
              <w:t>Δ4</w:t>
            </w:r>
          </w:p>
        </w:tc>
        <w:tc>
          <w:tcPr>
            <w:tcW w:w="2818" w:type="dxa"/>
            <w:tcBorders>
              <w:top w:val="single" w:sz="4" w:space="0" w:color="000000"/>
              <w:left w:val="single" w:sz="4" w:space="0" w:color="000000"/>
              <w:bottom w:val="single" w:sz="4" w:space="0" w:color="000000"/>
            </w:tcBorders>
          </w:tcPr>
          <w:p>
            <w:pPr>
              <w:pStyle w:val="TableParagraph"/>
              <w:spacing w:line="244" w:lineRule="exact" w:before="138"/>
              <w:ind w:left="98" w:right="703"/>
              <w:rPr>
                <w:sz w:val="20"/>
              </w:rPr>
            </w:pPr>
            <w:r>
              <w:rPr>
                <w:sz w:val="20"/>
              </w:rPr>
              <w:t>Ερευνητική σύμβαση με επιχείρηση</w:t>
            </w:r>
          </w:p>
        </w:tc>
        <w:tc>
          <w:tcPr>
            <w:tcW w:w="927" w:type="dxa"/>
            <w:tcBorders>
              <w:top w:val="single" w:sz="4" w:space="0" w:color="000000"/>
              <w:bottom w:val="single" w:sz="4" w:space="0" w:color="000000"/>
            </w:tcBorders>
          </w:tcPr>
          <w:p>
            <w:pPr>
              <w:pStyle w:val="TableParagraph"/>
              <w:rPr>
                <w:rFonts w:ascii="Times New Roman"/>
                <w:sz w:val="20"/>
              </w:rPr>
            </w:pPr>
          </w:p>
        </w:tc>
        <w:tc>
          <w:tcPr>
            <w:tcW w:w="1264" w:type="dxa"/>
            <w:tcBorders>
              <w:top w:val="single" w:sz="4" w:space="0" w:color="000000"/>
              <w:bottom w:val="single" w:sz="4" w:space="0" w:color="000000"/>
              <w:right w:val="single" w:sz="4" w:space="0" w:color="000000"/>
            </w:tcBorders>
            <w:shd w:val="clear" w:color="auto" w:fill="FF6500"/>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069" w:type="dxa"/>
            <w:tcBorders>
              <w:top w:val="single" w:sz="4" w:space="0" w:color="000000"/>
              <w:left w:val="single" w:sz="4" w:space="0" w:color="000000"/>
              <w:bottom w:val="single" w:sz="4" w:space="0" w:color="000000"/>
            </w:tcBorders>
          </w:tcPr>
          <w:p>
            <w:pPr>
              <w:pStyle w:val="TableParagraph"/>
              <w:spacing w:before="143"/>
              <w:ind w:left="304"/>
              <w:rPr>
                <w:sz w:val="20"/>
              </w:rPr>
            </w:pPr>
            <w:r>
              <w:rPr>
                <w:sz w:val="20"/>
              </w:rPr>
              <w:t>1.500</w:t>
            </w:r>
          </w:p>
        </w:tc>
      </w:tr>
      <w:tr>
        <w:trPr>
          <w:trHeight w:val="388" w:hRule="atLeast"/>
        </w:trPr>
        <w:tc>
          <w:tcPr>
            <w:tcW w:w="443" w:type="dxa"/>
            <w:vMerge w:val="restart"/>
            <w:tcBorders>
              <w:top w:val="single" w:sz="4" w:space="0" w:color="000000"/>
              <w:bottom w:val="single" w:sz="4" w:space="0" w:color="000000"/>
              <w:right w:val="single" w:sz="4" w:space="0" w:color="000000"/>
            </w:tcBorders>
          </w:tcPr>
          <w:p>
            <w:pPr>
              <w:pStyle w:val="TableParagraph"/>
              <w:spacing w:before="143"/>
              <w:ind w:left="97"/>
              <w:rPr>
                <w:b/>
                <w:sz w:val="20"/>
              </w:rPr>
            </w:pPr>
            <w:r>
              <w:rPr>
                <w:b/>
                <w:sz w:val="20"/>
              </w:rPr>
              <w:t>Δ5</w:t>
            </w:r>
          </w:p>
        </w:tc>
        <w:tc>
          <w:tcPr>
            <w:tcW w:w="2818" w:type="dxa"/>
            <w:vMerge w:val="restart"/>
            <w:tcBorders>
              <w:top w:val="single" w:sz="4" w:space="0" w:color="000000"/>
              <w:left w:val="single" w:sz="4" w:space="0" w:color="000000"/>
              <w:bottom w:val="single" w:sz="4" w:space="0" w:color="000000"/>
            </w:tcBorders>
          </w:tcPr>
          <w:p>
            <w:pPr>
              <w:pStyle w:val="TableParagraph"/>
              <w:spacing w:before="143"/>
              <w:ind w:left="98" w:right="343"/>
              <w:rPr>
                <w:sz w:val="20"/>
              </w:rPr>
            </w:pPr>
            <w:r>
              <w:rPr>
                <w:sz w:val="20"/>
              </w:rPr>
              <w:t>Συγχρηματοδοτούμενα έργα πλην κρατικών ενισχύσεων</w:t>
            </w:r>
          </w:p>
        </w:tc>
        <w:tc>
          <w:tcPr>
            <w:tcW w:w="927" w:type="dxa"/>
            <w:tcBorders>
              <w:top w:val="single" w:sz="4" w:space="0" w:color="000000"/>
              <w:bottom w:val="single" w:sz="4" w:space="0" w:color="000000"/>
            </w:tcBorders>
          </w:tcPr>
          <w:p>
            <w:pPr>
              <w:pStyle w:val="TableParagraph"/>
              <w:spacing w:line="225" w:lineRule="exact" w:before="143"/>
              <w:ind w:left="118" w:right="111"/>
              <w:jc w:val="center"/>
              <w:rPr>
                <w:sz w:val="20"/>
              </w:rPr>
            </w:pPr>
            <w:r>
              <w:rPr>
                <w:sz w:val="20"/>
              </w:rPr>
              <w:t>ΕΡΓΟ ΙΙΙ</w:t>
            </w:r>
          </w:p>
        </w:tc>
        <w:tc>
          <w:tcPr>
            <w:tcW w:w="1264"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shd w:val="clear" w:color="auto" w:fill="FF6500"/>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069" w:type="dxa"/>
            <w:tcBorders>
              <w:top w:val="single" w:sz="4" w:space="0" w:color="000000"/>
              <w:left w:val="single" w:sz="4" w:space="0" w:color="000000"/>
              <w:bottom w:val="single" w:sz="4" w:space="0" w:color="000000"/>
            </w:tcBorders>
          </w:tcPr>
          <w:p>
            <w:pPr>
              <w:pStyle w:val="TableParagraph"/>
              <w:spacing w:line="225" w:lineRule="exact" w:before="143"/>
              <w:ind w:left="253"/>
              <w:rPr>
                <w:sz w:val="20"/>
              </w:rPr>
            </w:pPr>
            <w:r>
              <w:rPr>
                <w:sz w:val="20"/>
              </w:rPr>
              <w:t>12.000</w:t>
            </w:r>
          </w:p>
        </w:tc>
      </w:tr>
      <w:tr>
        <w:trPr>
          <w:trHeight w:val="387" w:hRule="atLeast"/>
        </w:trPr>
        <w:tc>
          <w:tcPr>
            <w:tcW w:w="443" w:type="dxa"/>
            <w:vMerge/>
            <w:tcBorders>
              <w:top w:val="nil"/>
              <w:bottom w:val="single" w:sz="4" w:space="0" w:color="000000"/>
              <w:right w:val="single" w:sz="4" w:space="0" w:color="000000"/>
            </w:tcBorders>
          </w:tcPr>
          <w:p>
            <w:pPr>
              <w:rPr>
                <w:sz w:val="2"/>
                <w:szCs w:val="2"/>
              </w:rPr>
            </w:pPr>
          </w:p>
        </w:tc>
        <w:tc>
          <w:tcPr>
            <w:tcW w:w="2818" w:type="dxa"/>
            <w:vMerge/>
            <w:tcBorders>
              <w:top w:val="nil"/>
              <w:left w:val="single" w:sz="4" w:space="0" w:color="000000"/>
              <w:bottom w:val="single" w:sz="4" w:space="0" w:color="000000"/>
            </w:tcBorders>
          </w:tcPr>
          <w:p>
            <w:pPr>
              <w:rPr>
                <w:sz w:val="2"/>
                <w:szCs w:val="2"/>
              </w:rPr>
            </w:pPr>
          </w:p>
        </w:tc>
        <w:tc>
          <w:tcPr>
            <w:tcW w:w="927" w:type="dxa"/>
            <w:tcBorders>
              <w:top w:val="single" w:sz="4" w:space="0" w:color="000000"/>
              <w:bottom w:val="single" w:sz="4" w:space="0" w:color="000000"/>
            </w:tcBorders>
          </w:tcPr>
          <w:p>
            <w:pPr>
              <w:pStyle w:val="TableParagraph"/>
              <w:spacing w:line="224" w:lineRule="exact" w:before="143"/>
              <w:ind w:left="118" w:right="111"/>
              <w:jc w:val="center"/>
              <w:rPr>
                <w:sz w:val="20"/>
              </w:rPr>
            </w:pPr>
            <w:r>
              <w:rPr>
                <w:sz w:val="20"/>
              </w:rPr>
              <w:t>ΕΡΓΟ ΙV</w:t>
            </w:r>
          </w:p>
        </w:tc>
        <w:tc>
          <w:tcPr>
            <w:tcW w:w="1264"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shd w:val="clear" w:color="auto" w:fill="FF6500"/>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069" w:type="dxa"/>
            <w:tcBorders>
              <w:top w:val="single" w:sz="4" w:space="0" w:color="000000"/>
              <w:left w:val="single" w:sz="4" w:space="0" w:color="000000"/>
              <w:bottom w:val="single" w:sz="4" w:space="0" w:color="000000"/>
            </w:tcBorders>
          </w:tcPr>
          <w:p>
            <w:pPr>
              <w:pStyle w:val="TableParagraph"/>
              <w:spacing w:line="224" w:lineRule="exact" w:before="143"/>
              <w:ind w:left="304"/>
              <w:rPr>
                <w:sz w:val="20"/>
              </w:rPr>
            </w:pPr>
            <w:r>
              <w:rPr>
                <w:sz w:val="20"/>
              </w:rPr>
              <w:t>8.000</w:t>
            </w:r>
          </w:p>
        </w:tc>
      </w:tr>
      <w:tr>
        <w:trPr>
          <w:trHeight w:val="388" w:hRule="atLeast"/>
        </w:trPr>
        <w:tc>
          <w:tcPr>
            <w:tcW w:w="443" w:type="dxa"/>
            <w:vMerge w:val="restart"/>
            <w:tcBorders>
              <w:top w:val="single" w:sz="4" w:space="0" w:color="000000"/>
              <w:bottom w:val="single" w:sz="4" w:space="0" w:color="000000"/>
              <w:right w:val="single" w:sz="4" w:space="0" w:color="000000"/>
            </w:tcBorders>
          </w:tcPr>
          <w:p>
            <w:pPr>
              <w:pStyle w:val="TableParagraph"/>
              <w:spacing w:before="144"/>
              <w:ind w:left="97"/>
              <w:rPr>
                <w:b/>
                <w:sz w:val="20"/>
              </w:rPr>
            </w:pPr>
            <w:r>
              <w:rPr>
                <w:b/>
                <w:sz w:val="20"/>
              </w:rPr>
              <w:t>Δ6</w:t>
            </w:r>
          </w:p>
        </w:tc>
        <w:tc>
          <w:tcPr>
            <w:tcW w:w="2818" w:type="dxa"/>
            <w:vMerge w:val="restart"/>
            <w:tcBorders>
              <w:top w:val="single" w:sz="4" w:space="0" w:color="000000"/>
              <w:left w:val="single" w:sz="4" w:space="0" w:color="000000"/>
              <w:bottom w:val="single" w:sz="4" w:space="0" w:color="000000"/>
            </w:tcBorders>
          </w:tcPr>
          <w:p>
            <w:pPr>
              <w:pStyle w:val="TableParagraph"/>
              <w:spacing w:before="144"/>
              <w:ind w:left="98" w:right="343"/>
              <w:rPr>
                <w:sz w:val="20"/>
              </w:rPr>
            </w:pPr>
            <w:r>
              <w:rPr>
                <w:sz w:val="20"/>
              </w:rPr>
              <w:t>Συγχρηματοδοτούμενα έργα από ΕΕ (π.χ. HORIZON 2020)</w:t>
            </w:r>
          </w:p>
        </w:tc>
        <w:tc>
          <w:tcPr>
            <w:tcW w:w="927" w:type="dxa"/>
            <w:tcBorders>
              <w:top w:val="single" w:sz="4" w:space="0" w:color="000000"/>
              <w:bottom w:val="single" w:sz="4" w:space="0" w:color="000000"/>
            </w:tcBorders>
          </w:tcPr>
          <w:p>
            <w:pPr>
              <w:pStyle w:val="TableParagraph"/>
              <w:spacing w:line="224" w:lineRule="exact" w:before="144"/>
              <w:ind w:left="118" w:right="111"/>
              <w:jc w:val="center"/>
              <w:rPr>
                <w:sz w:val="20"/>
              </w:rPr>
            </w:pPr>
            <w:r>
              <w:rPr>
                <w:sz w:val="20"/>
              </w:rPr>
              <w:t>ΕΡΓΟ V</w:t>
            </w:r>
          </w:p>
        </w:tc>
        <w:tc>
          <w:tcPr>
            <w:tcW w:w="1264" w:type="dxa"/>
            <w:tcBorders>
              <w:top w:val="single" w:sz="4" w:space="0" w:color="000000"/>
              <w:bottom w:val="single" w:sz="4" w:space="0" w:color="000000"/>
              <w:right w:val="single" w:sz="4" w:space="0" w:color="000000"/>
            </w:tcBorders>
            <w:shd w:val="clear" w:color="auto" w:fill="FF6500"/>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069" w:type="dxa"/>
            <w:tcBorders>
              <w:top w:val="single" w:sz="4" w:space="0" w:color="000000"/>
              <w:left w:val="single" w:sz="4" w:space="0" w:color="000000"/>
              <w:bottom w:val="single" w:sz="4" w:space="0" w:color="000000"/>
            </w:tcBorders>
          </w:tcPr>
          <w:p>
            <w:pPr>
              <w:pStyle w:val="TableParagraph"/>
              <w:spacing w:line="224" w:lineRule="exact" w:before="144"/>
              <w:ind w:left="304"/>
              <w:rPr>
                <w:sz w:val="20"/>
              </w:rPr>
            </w:pPr>
            <w:r>
              <w:rPr>
                <w:sz w:val="20"/>
              </w:rPr>
              <w:t>1.000</w:t>
            </w:r>
          </w:p>
        </w:tc>
      </w:tr>
      <w:tr>
        <w:trPr>
          <w:trHeight w:val="388" w:hRule="atLeast"/>
        </w:trPr>
        <w:tc>
          <w:tcPr>
            <w:tcW w:w="443" w:type="dxa"/>
            <w:vMerge/>
            <w:tcBorders>
              <w:top w:val="nil"/>
              <w:bottom w:val="single" w:sz="4" w:space="0" w:color="000000"/>
              <w:right w:val="single" w:sz="4" w:space="0" w:color="000000"/>
            </w:tcBorders>
          </w:tcPr>
          <w:p>
            <w:pPr>
              <w:rPr>
                <w:sz w:val="2"/>
                <w:szCs w:val="2"/>
              </w:rPr>
            </w:pPr>
          </w:p>
        </w:tc>
        <w:tc>
          <w:tcPr>
            <w:tcW w:w="2818" w:type="dxa"/>
            <w:vMerge/>
            <w:tcBorders>
              <w:top w:val="nil"/>
              <w:left w:val="single" w:sz="4" w:space="0" w:color="000000"/>
              <w:bottom w:val="single" w:sz="4" w:space="0" w:color="000000"/>
            </w:tcBorders>
          </w:tcPr>
          <w:p>
            <w:pPr>
              <w:rPr>
                <w:sz w:val="2"/>
                <w:szCs w:val="2"/>
              </w:rPr>
            </w:pPr>
          </w:p>
        </w:tc>
        <w:tc>
          <w:tcPr>
            <w:tcW w:w="927" w:type="dxa"/>
            <w:tcBorders>
              <w:top w:val="single" w:sz="4" w:space="0" w:color="000000"/>
              <w:bottom w:val="single" w:sz="4" w:space="0" w:color="000000"/>
            </w:tcBorders>
          </w:tcPr>
          <w:p>
            <w:pPr>
              <w:pStyle w:val="TableParagraph"/>
              <w:spacing w:line="225" w:lineRule="exact" w:before="143"/>
              <w:ind w:left="119" w:right="111"/>
              <w:jc w:val="center"/>
              <w:rPr>
                <w:sz w:val="20"/>
              </w:rPr>
            </w:pPr>
            <w:r>
              <w:rPr>
                <w:sz w:val="20"/>
              </w:rPr>
              <w:t>ΕΡΓΟ VI</w:t>
            </w:r>
          </w:p>
        </w:tc>
        <w:tc>
          <w:tcPr>
            <w:tcW w:w="1264"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shd w:val="clear" w:color="auto" w:fill="FF6500"/>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069" w:type="dxa"/>
            <w:tcBorders>
              <w:top w:val="single" w:sz="4" w:space="0" w:color="000000"/>
              <w:left w:val="single" w:sz="4" w:space="0" w:color="000000"/>
              <w:bottom w:val="single" w:sz="4" w:space="0" w:color="000000"/>
            </w:tcBorders>
          </w:tcPr>
          <w:p>
            <w:pPr>
              <w:pStyle w:val="TableParagraph"/>
              <w:spacing w:line="225" w:lineRule="exact" w:before="143"/>
              <w:ind w:left="304"/>
              <w:rPr>
                <w:sz w:val="20"/>
              </w:rPr>
            </w:pPr>
            <w:r>
              <w:rPr>
                <w:sz w:val="20"/>
              </w:rPr>
              <w:t>4.000</w:t>
            </w:r>
          </w:p>
        </w:tc>
      </w:tr>
      <w:tr>
        <w:trPr>
          <w:trHeight w:val="632" w:hRule="atLeast"/>
        </w:trPr>
        <w:tc>
          <w:tcPr>
            <w:tcW w:w="443" w:type="dxa"/>
            <w:tcBorders>
              <w:top w:val="single" w:sz="4" w:space="0" w:color="000000"/>
              <w:bottom w:val="single" w:sz="4" w:space="0" w:color="000000"/>
              <w:right w:val="single" w:sz="4" w:space="0" w:color="000000"/>
            </w:tcBorders>
          </w:tcPr>
          <w:p>
            <w:pPr>
              <w:pStyle w:val="TableParagraph"/>
              <w:spacing w:before="143"/>
              <w:ind w:left="97"/>
              <w:rPr>
                <w:b/>
                <w:sz w:val="20"/>
              </w:rPr>
            </w:pPr>
            <w:r>
              <w:rPr>
                <w:b/>
                <w:sz w:val="20"/>
              </w:rPr>
              <w:t>Δ7</w:t>
            </w:r>
          </w:p>
        </w:tc>
        <w:tc>
          <w:tcPr>
            <w:tcW w:w="2818" w:type="dxa"/>
            <w:tcBorders>
              <w:top w:val="single" w:sz="4" w:space="0" w:color="000000"/>
              <w:left w:val="single" w:sz="4" w:space="0" w:color="000000"/>
              <w:bottom w:val="single" w:sz="4" w:space="0" w:color="000000"/>
            </w:tcBorders>
          </w:tcPr>
          <w:p>
            <w:pPr>
              <w:pStyle w:val="TableParagraph"/>
              <w:spacing w:line="240" w:lineRule="atLeast" w:before="143"/>
              <w:ind w:left="98" w:right="452"/>
              <w:rPr>
                <w:sz w:val="20"/>
              </w:rPr>
            </w:pPr>
            <w:r>
              <w:rPr>
                <w:sz w:val="20"/>
              </w:rPr>
              <w:t>Μη συγχρηματοδοτούμενη κρατική έρευνα</w:t>
            </w:r>
          </w:p>
        </w:tc>
        <w:tc>
          <w:tcPr>
            <w:tcW w:w="927" w:type="dxa"/>
            <w:tcBorders>
              <w:top w:val="single" w:sz="4" w:space="0" w:color="000000"/>
              <w:bottom w:val="single" w:sz="4" w:space="0" w:color="000000"/>
            </w:tcBorders>
          </w:tcPr>
          <w:p>
            <w:pPr>
              <w:pStyle w:val="TableParagraph"/>
              <w:rPr>
                <w:rFonts w:ascii="Times New Roman"/>
                <w:sz w:val="20"/>
              </w:rPr>
            </w:pPr>
          </w:p>
        </w:tc>
        <w:tc>
          <w:tcPr>
            <w:tcW w:w="1264" w:type="dxa"/>
            <w:tcBorders>
              <w:top w:val="single" w:sz="4" w:space="0" w:color="000000"/>
              <w:bottom w:val="single" w:sz="4" w:space="0" w:color="000000"/>
              <w:right w:val="single" w:sz="4" w:space="0" w:color="000000"/>
            </w:tcBorders>
          </w:tcPr>
          <w:p>
            <w:pPr>
              <w:pStyle w:val="TableParagraph"/>
              <w:rPr>
                <w:rFonts w:ascii="Times New Roman"/>
                <w:sz w:val="20"/>
              </w:rPr>
            </w:pPr>
          </w:p>
        </w:tc>
        <w:tc>
          <w:tcPr>
            <w:tcW w:w="1265" w:type="dxa"/>
            <w:tcBorders>
              <w:top w:val="single" w:sz="4" w:space="0" w:color="000000"/>
              <w:left w:val="single" w:sz="4" w:space="0" w:color="000000"/>
              <w:bottom w:val="single" w:sz="4" w:space="0" w:color="000000"/>
            </w:tcBorders>
            <w:shd w:val="clear" w:color="auto" w:fill="FF6500"/>
          </w:tcPr>
          <w:p>
            <w:pPr>
              <w:pStyle w:val="TableParagraph"/>
              <w:rPr>
                <w:rFonts w:ascii="Times New Roman"/>
                <w:sz w:val="20"/>
              </w:rPr>
            </w:pPr>
          </w:p>
        </w:tc>
        <w:tc>
          <w:tcPr>
            <w:tcW w:w="1068" w:type="dxa"/>
            <w:tcBorders>
              <w:top w:val="single" w:sz="4" w:space="0" w:color="000000"/>
              <w:bottom w:val="single" w:sz="4" w:space="0" w:color="000000"/>
              <w:right w:val="single" w:sz="4" w:space="0" w:color="000000"/>
            </w:tcBorders>
          </w:tcPr>
          <w:p>
            <w:pPr>
              <w:pStyle w:val="TableParagraph"/>
              <w:spacing w:before="143"/>
              <w:ind w:left="223" w:right="224"/>
              <w:jc w:val="center"/>
              <w:rPr>
                <w:sz w:val="20"/>
              </w:rPr>
            </w:pPr>
            <w:r>
              <w:rPr>
                <w:sz w:val="20"/>
              </w:rPr>
              <w:t>20.000</w:t>
            </w:r>
          </w:p>
        </w:tc>
        <w:tc>
          <w:tcPr>
            <w:tcW w:w="1069" w:type="dxa"/>
            <w:tcBorders>
              <w:top w:val="single" w:sz="4" w:space="0" w:color="000000"/>
              <w:left w:val="single" w:sz="4" w:space="0" w:color="000000"/>
              <w:bottom w:val="single" w:sz="4" w:space="0" w:color="000000"/>
            </w:tcBorders>
          </w:tcPr>
          <w:p>
            <w:pPr>
              <w:pStyle w:val="TableParagraph"/>
              <w:spacing w:before="143"/>
              <w:ind w:left="253"/>
              <w:rPr>
                <w:sz w:val="20"/>
              </w:rPr>
            </w:pPr>
            <w:r>
              <w:rPr>
                <w:sz w:val="20"/>
              </w:rPr>
              <w:t>23.500</w:t>
            </w:r>
          </w:p>
        </w:tc>
      </w:tr>
      <w:tr>
        <w:trPr>
          <w:trHeight w:val="631" w:hRule="atLeast"/>
        </w:trPr>
        <w:tc>
          <w:tcPr>
            <w:tcW w:w="443" w:type="dxa"/>
            <w:tcBorders>
              <w:top w:val="single" w:sz="4" w:space="0" w:color="000000"/>
              <w:right w:val="single" w:sz="4" w:space="0" w:color="000000"/>
            </w:tcBorders>
          </w:tcPr>
          <w:p>
            <w:pPr>
              <w:pStyle w:val="TableParagraph"/>
              <w:spacing w:before="143"/>
              <w:ind w:left="97"/>
              <w:rPr>
                <w:b/>
                <w:sz w:val="20"/>
              </w:rPr>
            </w:pPr>
            <w:r>
              <w:rPr>
                <w:b/>
                <w:sz w:val="20"/>
              </w:rPr>
              <w:t>Δ8</w:t>
            </w:r>
          </w:p>
        </w:tc>
        <w:tc>
          <w:tcPr>
            <w:tcW w:w="2818" w:type="dxa"/>
            <w:tcBorders>
              <w:top w:val="single" w:sz="4" w:space="0" w:color="000000"/>
              <w:left w:val="single" w:sz="4" w:space="0" w:color="000000"/>
            </w:tcBorders>
          </w:tcPr>
          <w:p>
            <w:pPr>
              <w:pStyle w:val="TableParagraph"/>
              <w:spacing w:line="240" w:lineRule="atLeast" w:before="143"/>
              <w:ind w:left="98" w:right="359"/>
              <w:rPr>
                <w:sz w:val="20"/>
              </w:rPr>
            </w:pPr>
            <w:r>
              <w:rPr>
                <w:sz w:val="20"/>
              </w:rPr>
              <w:t>Εκμετάλλευση τεχνολογικού πάρκου</w:t>
            </w:r>
          </w:p>
        </w:tc>
        <w:tc>
          <w:tcPr>
            <w:tcW w:w="927" w:type="dxa"/>
            <w:tcBorders>
              <w:top w:val="single" w:sz="4" w:space="0" w:color="000000"/>
            </w:tcBorders>
          </w:tcPr>
          <w:p>
            <w:pPr>
              <w:pStyle w:val="TableParagraph"/>
              <w:rPr>
                <w:rFonts w:ascii="Times New Roman"/>
                <w:sz w:val="20"/>
              </w:rPr>
            </w:pPr>
          </w:p>
        </w:tc>
        <w:tc>
          <w:tcPr>
            <w:tcW w:w="1264" w:type="dxa"/>
            <w:tcBorders>
              <w:top w:val="single" w:sz="4" w:space="0" w:color="000000"/>
              <w:right w:val="single" w:sz="4" w:space="0" w:color="000000"/>
            </w:tcBorders>
            <w:shd w:val="clear" w:color="auto" w:fill="FF6500"/>
          </w:tcPr>
          <w:p>
            <w:pPr>
              <w:pStyle w:val="TableParagraph"/>
              <w:rPr>
                <w:rFonts w:ascii="Times New Roman"/>
                <w:sz w:val="20"/>
              </w:rPr>
            </w:pPr>
          </w:p>
        </w:tc>
        <w:tc>
          <w:tcPr>
            <w:tcW w:w="1265" w:type="dxa"/>
            <w:tcBorders>
              <w:top w:val="single" w:sz="4" w:space="0" w:color="000000"/>
              <w:left w:val="single" w:sz="4" w:space="0" w:color="000000"/>
            </w:tcBorders>
          </w:tcPr>
          <w:p>
            <w:pPr>
              <w:pStyle w:val="TableParagraph"/>
              <w:rPr>
                <w:rFonts w:ascii="Times New Roman"/>
                <w:sz w:val="20"/>
              </w:rPr>
            </w:pPr>
          </w:p>
        </w:tc>
        <w:tc>
          <w:tcPr>
            <w:tcW w:w="1068" w:type="dxa"/>
            <w:tcBorders>
              <w:top w:val="single" w:sz="4" w:space="0" w:color="000000"/>
              <w:right w:val="single" w:sz="4" w:space="0" w:color="000000"/>
            </w:tcBorders>
          </w:tcPr>
          <w:p>
            <w:pPr>
              <w:pStyle w:val="TableParagraph"/>
              <w:rPr>
                <w:rFonts w:ascii="Times New Roman"/>
                <w:sz w:val="20"/>
              </w:rPr>
            </w:pPr>
          </w:p>
        </w:tc>
        <w:tc>
          <w:tcPr>
            <w:tcW w:w="1069" w:type="dxa"/>
            <w:tcBorders>
              <w:top w:val="single" w:sz="4" w:space="0" w:color="000000"/>
              <w:left w:val="single" w:sz="4" w:space="0" w:color="000000"/>
            </w:tcBorders>
          </w:tcPr>
          <w:p>
            <w:pPr>
              <w:pStyle w:val="TableParagraph"/>
              <w:rPr>
                <w:rFonts w:ascii="Times New Roman"/>
                <w:sz w:val="20"/>
              </w:rPr>
            </w:pPr>
          </w:p>
        </w:tc>
      </w:tr>
      <w:tr>
        <w:trPr>
          <w:trHeight w:val="518" w:hRule="atLeast"/>
        </w:trPr>
        <w:tc>
          <w:tcPr>
            <w:tcW w:w="3261" w:type="dxa"/>
            <w:gridSpan w:val="2"/>
            <w:shd w:val="clear" w:color="auto" w:fill="E0E0E0"/>
          </w:tcPr>
          <w:p>
            <w:pPr>
              <w:pStyle w:val="TableParagraph"/>
              <w:spacing w:before="143"/>
              <w:ind w:left="97"/>
              <w:rPr>
                <w:b/>
                <w:sz w:val="20"/>
              </w:rPr>
            </w:pPr>
            <w:r>
              <w:rPr>
                <w:b/>
                <w:sz w:val="20"/>
              </w:rPr>
              <w:t>ΣΥΝΟΛΟ ΑΝΘΡΩΠΟΠΡΟΣΠΑΘΕΙΑΣ</w:t>
            </w:r>
          </w:p>
        </w:tc>
        <w:tc>
          <w:tcPr>
            <w:tcW w:w="927" w:type="dxa"/>
            <w:shd w:val="clear" w:color="auto" w:fill="E0E0E0"/>
          </w:tcPr>
          <w:p>
            <w:pPr>
              <w:pStyle w:val="TableParagraph"/>
              <w:rPr>
                <w:rFonts w:ascii="Times New Roman"/>
                <w:sz w:val="20"/>
              </w:rPr>
            </w:pPr>
          </w:p>
        </w:tc>
        <w:tc>
          <w:tcPr>
            <w:tcW w:w="1264" w:type="dxa"/>
            <w:tcBorders>
              <w:right w:val="single" w:sz="4" w:space="0" w:color="000000"/>
            </w:tcBorders>
            <w:shd w:val="clear" w:color="auto" w:fill="E0E0E0"/>
          </w:tcPr>
          <w:p>
            <w:pPr>
              <w:pStyle w:val="TableParagraph"/>
              <w:rPr>
                <w:rFonts w:ascii="Times New Roman"/>
                <w:sz w:val="20"/>
              </w:rPr>
            </w:pPr>
          </w:p>
        </w:tc>
        <w:tc>
          <w:tcPr>
            <w:tcW w:w="1265" w:type="dxa"/>
            <w:tcBorders>
              <w:left w:val="single" w:sz="4" w:space="0" w:color="000000"/>
            </w:tcBorders>
            <w:shd w:val="clear" w:color="auto" w:fill="E0E0E0"/>
          </w:tcPr>
          <w:p>
            <w:pPr>
              <w:pStyle w:val="TableParagraph"/>
              <w:rPr>
                <w:rFonts w:ascii="Times New Roman"/>
                <w:sz w:val="20"/>
              </w:rPr>
            </w:pPr>
          </w:p>
        </w:tc>
        <w:tc>
          <w:tcPr>
            <w:tcW w:w="1068" w:type="dxa"/>
            <w:tcBorders>
              <w:right w:val="single" w:sz="4" w:space="0" w:color="000000"/>
            </w:tcBorders>
            <w:shd w:val="clear" w:color="auto" w:fill="E0E0E0"/>
          </w:tcPr>
          <w:p>
            <w:pPr>
              <w:pStyle w:val="TableParagraph"/>
              <w:spacing w:before="143"/>
              <w:ind w:left="223" w:right="224"/>
              <w:jc w:val="center"/>
              <w:rPr>
                <w:b/>
                <w:sz w:val="20"/>
              </w:rPr>
            </w:pPr>
            <w:r>
              <w:rPr>
                <w:b/>
                <w:sz w:val="20"/>
              </w:rPr>
              <w:t>50.000</w:t>
            </w:r>
          </w:p>
        </w:tc>
        <w:tc>
          <w:tcPr>
            <w:tcW w:w="1069" w:type="dxa"/>
            <w:tcBorders>
              <w:left w:val="single" w:sz="4" w:space="0" w:color="000000"/>
            </w:tcBorders>
            <w:shd w:val="clear" w:color="auto" w:fill="E0E0E0"/>
          </w:tcPr>
          <w:p>
            <w:pPr>
              <w:pStyle w:val="TableParagraph"/>
              <w:spacing w:before="143"/>
              <w:ind w:left="252"/>
              <w:rPr>
                <w:b/>
                <w:sz w:val="20"/>
              </w:rPr>
            </w:pPr>
            <w:r>
              <w:rPr>
                <w:b/>
                <w:sz w:val="20"/>
              </w:rPr>
              <w:t>50.000</w:t>
            </w:r>
          </w:p>
        </w:tc>
      </w:tr>
      <w:tr>
        <w:trPr>
          <w:trHeight w:val="743" w:hRule="atLeast"/>
        </w:trPr>
        <w:tc>
          <w:tcPr>
            <w:tcW w:w="3261" w:type="dxa"/>
            <w:gridSpan w:val="2"/>
            <w:shd w:val="clear" w:color="auto" w:fill="E0E0E0"/>
          </w:tcPr>
          <w:p>
            <w:pPr>
              <w:pStyle w:val="TableParagraph"/>
              <w:spacing w:before="134"/>
              <w:ind w:left="97" w:right="129"/>
              <w:rPr>
                <w:b/>
                <w:sz w:val="20"/>
              </w:rPr>
            </w:pPr>
            <w:r>
              <w:rPr>
                <w:b/>
                <w:sz w:val="20"/>
              </w:rPr>
              <w:t>ΠΟΣΟΣΤΟ ΑΝΘΡΩΠΟΠΡΟΣΠΑΘΕΙΑΣ ΣΕ ΟΙΚΟΝΟΜΙΚΕΣ ΔΡΑΣΤΗΡΙΟΤΗΤΕΣ</w:t>
            </w:r>
          </w:p>
        </w:tc>
        <w:tc>
          <w:tcPr>
            <w:tcW w:w="927" w:type="dxa"/>
            <w:shd w:val="clear" w:color="auto" w:fill="E0E0E0"/>
          </w:tcPr>
          <w:p>
            <w:pPr>
              <w:pStyle w:val="TableParagraph"/>
              <w:rPr>
                <w:rFonts w:ascii="Times New Roman"/>
                <w:sz w:val="20"/>
              </w:rPr>
            </w:pPr>
          </w:p>
        </w:tc>
        <w:tc>
          <w:tcPr>
            <w:tcW w:w="1264" w:type="dxa"/>
            <w:tcBorders>
              <w:right w:val="single" w:sz="4" w:space="0" w:color="000000"/>
            </w:tcBorders>
            <w:shd w:val="clear" w:color="auto" w:fill="E0E0E0"/>
          </w:tcPr>
          <w:p>
            <w:pPr>
              <w:pStyle w:val="TableParagraph"/>
              <w:rPr>
                <w:rFonts w:ascii="Times New Roman"/>
                <w:sz w:val="20"/>
              </w:rPr>
            </w:pPr>
          </w:p>
        </w:tc>
        <w:tc>
          <w:tcPr>
            <w:tcW w:w="1265" w:type="dxa"/>
            <w:tcBorders>
              <w:left w:val="single" w:sz="4" w:space="0" w:color="000000"/>
            </w:tcBorders>
            <w:shd w:val="clear" w:color="auto" w:fill="E0E0E0"/>
          </w:tcPr>
          <w:p>
            <w:pPr>
              <w:pStyle w:val="TableParagraph"/>
              <w:rPr>
                <w:rFonts w:ascii="Times New Roman"/>
                <w:sz w:val="20"/>
              </w:rPr>
            </w:pPr>
          </w:p>
        </w:tc>
        <w:tc>
          <w:tcPr>
            <w:tcW w:w="1068" w:type="dxa"/>
            <w:tcBorders>
              <w:right w:val="single" w:sz="4" w:space="0" w:color="000000"/>
            </w:tcBorders>
            <w:shd w:val="clear" w:color="auto" w:fill="E0E0E0"/>
          </w:tcPr>
          <w:p>
            <w:pPr>
              <w:pStyle w:val="TableParagraph"/>
              <w:spacing w:before="134"/>
              <w:ind w:left="223" w:right="224"/>
              <w:jc w:val="center"/>
              <w:rPr>
                <w:sz w:val="20"/>
              </w:rPr>
            </w:pPr>
            <w:r>
              <w:rPr>
                <w:sz w:val="20"/>
              </w:rPr>
              <w:t>34,4%</w:t>
            </w:r>
          </w:p>
        </w:tc>
        <w:tc>
          <w:tcPr>
            <w:tcW w:w="1069" w:type="dxa"/>
            <w:tcBorders>
              <w:left w:val="single" w:sz="4" w:space="0" w:color="000000"/>
            </w:tcBorders>
            <w:shd w:val="clear" w:color="auto" w:fill="E0E0E0"/>
          </w:tcPr>
          <w:p>
            <w:pPr>
              <w:pStyle w:val="TableParagraph"/>
              <w:spacing w:before="134"/>
              <w:ind w:left="333"/>
              <w:rPr>
                <w:sz w:val="20"/>
              </w:rPr>
            </w:pPr>
            <w:r>
              <w:rPr>
                <w:sz w:val="20"/>
              </w:rPr>
              <w:t>5,0%</w:t>
            </w:r>
          </w:p>
        </w:tc>
      </w:tr>
    </w:tbl>
    <w:p>
      <w:pPr>
        <w:pStyle w:val="BodyText"/>
        <w:spacing w:before="10"/>
        <w:rPr>
          <w:b/>
          <w:sz w:val="27"/>
        </w:rPr>
      </w:pPr>
    </w:p>
    <w:p>
      <w:pPr>
        <w:pStyle w:val="BodyText"/>
        <w:spacing w:line="268" w:lineRule="auto"/>
        <w:ind w:left="106" w:right="102" w:firstLine="709"/>
        <w:jc w:val="both"/>
      </w:pPr>
      <w:r>
        <w:rPr/>
        <w:t>Ο φορέας θα πρέπει να είναι σε θέση να τεκμηριώσει, εφόσον ζητηθεί, τα υποβληθέντα στοιχεία μέσα από την τήρηση συνολικών απολογιστικών φύλλων χρονοχρέωσης για κάθε εργαζόμενο. Στα φύλλα χρονοχρέωσης θα αναλύεται η ανθρωποπροσπάθεια που αναλώνεται από τον εργαζόμενο ανά έργο και δραστηριότητα, καλύπτοντας τόσο τις οικονομικές όσο και τις μη οικονομικές δραστηριότητες. Στον υπολογισμό της ανθρωποπροσπάθειας δε συμμετέχουν οι εργαζόμενοι που ασκούν οριζόντιες υποστηρικτικές δραστηριότητες (π.χ. διοικητική υποστήριξη, φύλαξη, καθαριότητα). Αντίθετα, κατά την αποτύπωση των μεγεθών του Πίνακα λαμβάνεται υπόψη η απασχόληση του έκτακτου προσωπικού στις δραστηριότητες των εξεταζόμενων οικονομικών</w:t>
      </w:r>
      <w:r>
        <w:rPr>
          <w:spacing w:val="-10"/>
        </w:rPr>
        <w:t> </w:t>
      </w:r>
      <w:r>
        <w:rPr/>
        <w:t>οντοτήτων.</w:t>
      </w:r>
    </w:p>
    <w:p>
      <w:pPr>
        <w:spacing w:after="0" w:line="268" w:lineRule="auto"/>
        <w:jc w:val="both"/>
        <w:sectPr>
          <w:footerReference w:type="default" r:id="rId7"/>
          <w:pgSz w:w="11910" w:h="16840"/>
          <w:pgMar w:footer="960" w:header="0" w:top="1440" w:bottom="1140" w:left="1140" w:right="1140"/>
          <w:pgNumType w:start="9"/>
        </w:sectPr>
      </w:pPr>
    </w:p>
    <w:p>
      <w:pPr>
        <w:pStyle w:val="BodyText"/>
        <w:spacing w:line="268" w:lineRule="auto" w:before="30"/>
        <w:ind w:left="106" w:right="103" w:firstLine="709"/>
        <w:jc w:val="both"/>
      </w:pPr>
      <w:r>
        <w:rPr/>
        <w:t>Με βάση τα στοιχεία του παραδείγματος, το Ινστιτούτο Γ είναι δυνατόν να εξαιρεθεί από το πεδίο εφαρμογής των κανόνων για τις κρατικές ενισχύσεις.</w:t>
      </w:r>
    </w:p>
    <w:p>
      <w:pPr>
        <w:pStyle w:val="BodyText"/>
        <w:spacing w:line="268" w:lineRule="auto" w:before="119"/>
        <w:ind w:left="106" w:right="99" w:firstLine="709"/>
        <w:jc w:val="both"/>
      </w:pPr>
      <w:r>
        <w:rPr/>
        <w:t>Δεν ισχύει το ίδιο για το Ινστιτούτο Β, από τα εξεταζόμενα στοιχεία του οποίου προκύπτει ότι πάνω από το 20% της δυναμικότητάς του (34,4%) αφορά σε οικονομικές δραστηριότητες. Επομένως, στην περίπτωση αυτή θα πρέπει να εφαρμοστούν οι προβλέψεις του σημείου Δ της Ενότητας «Δημόσια Χρηματοδότηση Ερευνητικών Υποδομών» του εγγράφου της ΕΥΚΕ (Α.Π. 49939/ΕΥΚΕ 1942/13.05.2016).</w:t>
      </w:r>
    </w:p>
    <w:sectPr>
      <w:pgSz w:w="11910" w:h="16840"/>
      <w:pgMar w:header="0" w:footer="960" w:top="1440" w:bottom="1140" w:left="114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A1"/>
    <w:family w:val="roman"/>
    <w:pitch w:val="variable"/>
  </w:font>
  <w:font w:name="Calibri">
    <w:altName w:val="Calibri"/>
    <w:charset w:val="A1"/>
    <w:family w:val="swiss"/>
    <w:pitch w:val="variable"/>
  </w:font>
  <w:font w:name="Symbol">
    <w:altName w:val="Symbol"/>
    <w:charset w:val="2"/>
    <w:family w:val="roman"/>
    <w:pitch w:val="variable"/>
  </w:font>
  <w:font w:name="Courier New">
    <w:altName w:val="Courier New"/>
    <w:charset w:val="A1"/>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3.140015pt;margin-top:783.064697pt;width:9.1pt;height:12.05pt;mso-position-horizontal-relative:page;mso-position-vertical-relative:page;z-index:-23200" type="#_x0000_t202" filled="false" stroked="false">
          <v:textbox inset="0,0,0,0">
            <w:txbxContent>
              <w:p>
                <w:pPr>
                  <w:spacing w:line="224" w:lineRule="exact" w:before="0"/>
                  <w:ind w:left="40" w:right="0" w:firstLine="0"/>
                  <w:jc w:val="left"/>
                  <w:rPr>
                    <w:sz w:val="20"/>
                  </w:rPr>
                </w:pPr>
                <w:r>
                  <w:rPr/>
                  <w:fldChar w:fldCharType="begin"/>
                </w:r>
                <w:r>
                  <w:rPr>
                    <w:w w:val="100"/>
                    <w:sz w:val="20"/>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559998pt;margin-top:783.0047pt;width:14.25pt;height:12.05pt;mso-position-horizontal-relative:page;mso-position-vertical-relative:page;z-index:-23176" type="#_x0000_t202" filled="false" stroked="false">
          <v:textbox inset="0,0,0,0">
            <w:txbxContent>
              <w:p>
                <w:pPr>
                  <w:spacing w:line="224" w:lineRule="exact" w:before="0"/>
                  <w:ind w:left="40" w:right="0" w:firstLine="0"/>
                  <w:jc w:val="left"/>
                  <w:rPr>
                    <w:sz w:val="20"/>
                  </w:rPr>
                </w:pPr>
                <w:r>
                  <w:rPr/>
                  <w:fldChar w:fldCharType="begin"/>
                </w:r>
                <w:r>
                  <w:rPr>
                    <w:sz w:val="20"/>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o"/>
      <w:lvlJc w:val="left"/>
      <w:pPr>
        <w:ind w:left="1638" w:hanging="285"/>
      </w:pPr>
      <w:rPr>
        <w:rFonts w:hint="default" w:ascii="Courier New" w:hAnsi="Courier New" w:eastAsia="Courier New" w:cs="Courier New"/>
        <w:w w:val="99"/>
        <w:sz w:val="22"/>
        <w:szCs w:val="22"/>
      </w:rPr>
    </w:lvl>
    <w:lvl w:ilvl="1">
      <w:start w:val="0"/>
      <w:numFmt w:val="bullet"/>
      <w:lvlText w:val="•"/>
      <w:lvlJc w:val="left"/>
      <w:pPr>
        <w:ind w:left="2350" w:hanging="285"/>
      </w:pPr>
      <w:rPr>
        <w:rFonts w:hint="default"/>
      </w:rPr>
    </w:lvl>
    <w:lvl w:ilvl="2">
      <w:start w:val="0"/>
      <w:numFmt w:val="bullet"/>
      <w:lvlText w:val="•"/>
      <w:lvlJc w:val="left"/>
      <w:pPr>
        <w:ind w:left="3060" w:hanging="285"/>
      </w:pPr>
      <w:rPr>
        <w:rFonts w:hint="default"/>
      </w:rPr>
    </w:lvl>
    <w:lvl w:ilvl="3">
      <w:start w:val="0"/>
      <w:numFmt w:val="bullet"/>
      <w:lvlText w:val="•"/>
      <w:lvlJc w:val="left"/>
      <w:pPr>
        <w:ind w:left="3771" w:hanging="285"/>
      </w:pPr>
      <w:rPr>
        <w:rFonts w:hint="default"/>
      </w:rPr>
    </w:lvl>
    <w:lvl w:ilvl="4">
      <w:start w:val="0"/>
      <w:numFmt w:val="bullet"/>
      <w:lvlText w:val="•"/>
      <w:lvlJc w:val="left"/>
      <w:pPr>
        <w:ind w:left="4481" w:hanging="285"/>
      </w:pPr>
      <w:rPr>
        <w:rFonts w:hint="default"/>
      </w:rPr>
    </w:lvl>
    <w:lvl w:ilvl="5">
      <w:start w:val="0"/>
      <w:numFmt w:val="bullet"/>
      <w:lvlText w:val="•"/>
      <w:lvlJc w:val="left"/>
      <w:pPr>
        <w:ind w:left="5192" w:hanging="285"/>
      </w:pPr>
      <w:rPr>
        <w:rFonts w:hint="default"/>
      </w:rPr>
    </w:lvl>
    <w:lvl w:ilvl="6">
      <w:start w:val="0"/>
      <w:numFmt w:val="bullet"/>
      <w:lvlText w:val="•"/>
      <w:lvlJc w:val="left"/>
      <w:pPr>
        <w:ind w:left="5902" w:hanging="285"/>
      </w:pPr>
      <w:rPr>
        <w:rFonts w:hint="default"/>
      </w:rPr>
    </w:lvl>
    <w:lvl w:ilvl="7">
      <w:start w:val="0"/>
      <w:numFmt w:val="bullet"/>
      <w:lvlText w:val="•"/>
      <w:lvlJc w:val="left"/>
      <w:pPr>
        <w:ind w:left="6613" w:hanging="285"/>
      </w:pPr>
      <w:rPr>
        <w:rFonts w:hint="default"/>
      </w:rPr>
    </w:lvl>
    <w:lvl w:ilvl="8">
      <w:start w:val="0"/>
      <w:numFmt w:val="bullet"/>
      <w:lvlText w:val="•"/>
      <w:lvlJc w:val="left"/>
      <w:pPr>
        <w:ind w:left="7323" w:hanging="285"/>
      </w:pPr>
      <w:rPr>
        <w:rFonts w:hint="default"/>
      </w:rPr>
    </w:lvl>
  </w:abstractNum>
  <w:abstractNum w:abstractNumId="2">
    <w:multiLevelType w:val="hybridMultilevel"/>
    <w:lvl w:ilvl="0">
      <w:start w:val="1"/>
      <w:numFmt w:val="decimal"/>
      <w:lvlText w:val="%1."/>
      <w:lvlJc w:val="left"/>
      <w:pPr>
        <w:ind w:left="504" w:hanging="285"/>
        <w:jc w:val="left"/>
      </w:pPr>
      <w:rPr>
        <w:rFonts w:hint="default" w:ascii="Calibri" w:hAnsi="Calibri" w:eastAsia="Calibri" w:cs="Calibri"/>
        <w:b/>
        <w:bCs/>
        <w:w w:val="99"/>
        <w:sz w:val="22"/>
        <w:szCs w:val="22"/>
      </w:rPr>
    </w:lvl>
    <w:lvl w:ilvl="1">
      <w:start w:val="0"/>
      <w:numFmt w:val="bullet"/>
      <w:lvlText w:val=""/>
      <w:lvlJc w:val="left"/>
      <w:pPr>
        <w:ind w:left="929" w:hanging="284"/>
      </w:pPr>
      <w:rPr>
        <w:rFonts w:hint="default" w:ascii="Symbol" w:hAnsi="Symbol" w:eastAsia="Symbol" w:cs="Symbol"/>
        <w:w w:val="99"/>
        <w:sz w:val="22"/>
        <w:szCs w:val="22"/>
      </w:rPr>
    </w:lvl>
    <w:lvl w:ilvl="2">
      <w:start w:val="0"/>
      <w:numFmt w:val="bullet"/>
      <w:lvlText w:val="•"/>
      <w:lvlJc w:val="left"/>
      <w:pPr>
        <w:ind w:left="1789" w:hanging="284"/>
      </w:pPr>
      <w:rPr>
        <w:rFonts w:hint="default"/>
      </w:rPr>
    </w:lvl>
    <w:lvl w:ilvl="3">
      <w:start w:val="0"/>
      <w:numFmt w:val="bullet"/>
      <w:lvlText w:val="•"/>
      <w:lvlJc w:val="left"/>
      <w:pPr>
        <w:ind w:left="2658" w:hanging="284"/>
      </w:pPr>
      <w:rPr>
        <w:rFonts w:hint="default"/>
      </w:rPr>
    </w:lvl>
    <w:lvl w:ilvl="4">
      <w:start w:val="0"/>
      <w:numFmt w:val="bullet"/>
      <w:lvlText w:val="•"/>
      <w:lvlJc w:val="left"/>
      <w:pPr>
        <w:ind w:left="3528" w:hanging="284"/>
      </w:pPr>
      <w:rPr>
        <w:rFonts w:hint="default"/>
      </w:rPr>
    </w:lvl>
    <w:lvl w:ilvl="5">
      <w:start w:val="0"/>
      <w:numFmt w:val="bullet"/>
      <w:lvlText w:val="•"/>
      <w:lvlJc w:val="left"/>
      <w:pPr>
        <w:ind w:left="4397" w:hanging="284"/>
      </w:pPr>
      <w:rPr>
        <w:rFonts w:hint="default"/>
      </w:rPr>
    </w:lvl>
    <w:lvl w:ilvl="6">
      <w:start w:val="0"/>
      <w:numFmt w:val="bullet"/>
      <w:lvlText w:val="•"/>
      <w:lvlJc w:val="left"/>
      <w:pPr>
        <w:ind w:left="5266" w:hanging="284"/>
      </w:pPr>
      <w:rPr>
        <w:rFonts w:hint="default"/>
      </w:rPr>
    </w:lvl>
    <w:lvl w:ilvl="7">
      <w:start w:val="0"/>
      <w:numFmt w:val="bullet"/>
      <w:lvlText w:val="•"/>
      <w:lvlJc w:val="left"/>
      <w:pPr>
        <w:ind w:left="6136" w:hanging="284"/>
      </w:pPr>
      <w:rPr>
        <w:rFonts w:hint="default"/>
      </w:rPr>
    </w:lvl>
    <w:lvl w:ilvl="8">
      <w:start w:val="0"/>
      <w:numFmt w:val="bullet"/>
      <w:lvlText w:val="•"/>
      <w:lvlJc w:val="left"/>
      <w:pPr>
        <w:ind w:left="7005" w:hanging="284"/>
      </w:pPr>
      <w:rPr>
        <w:rFonts w:hint="default"/>
      </w:rPr>
    </w:lvl>
  </w:abstractNum>
  <w:abstractNum w:abstractNumId="1">
    <w:multiLevelType w:val="hybridMultilevel"/>
    <w:lvl w:ilvl="0">
      <w:start w:val="0"/>
      <w:numFmt w:val="bullet"/>
      <w:lvlText w:val="–"/>
      <w:lvlJc w:val="left"/>
      <w:pPr>
        <w:ind w:left="378" w:hanging="159"/>
      </w:pPr>
      <w:rPr>
        <w:rFonts w:hint="default" w:ascii="Calibri" w:hAnsi="Calibri" w:eastAsia="Calibri" w:cs="Calibri"/>
        <w:w w:val="99"/>
        <w:sz w:val="22"/>
        <w:szCs w:val="22"/>
      </w:rPr>
    </w:lvl>
    <w:lvl w:ilvl="1">
      <w:start w:val="0"/>
      <w:numFmt w:val="bullet"/>
      <w:lvlText w:val=""/>
      <w:lvlJc w:val="left"/>
      <w:pPr>
        <w:ind w:left="929" w:hanging="284"/>
      </w:pPr>
      <w:rPr>
        <w:rFonts w:hint="default" w:ascii="Symbol" w:hAnsi="Symbol" w:eastAsia="Symbol" w:cs="Symbol"/>
        <w:w w:val="99"/>
        <w:sz w:val="22"/>
        <w:szCs w:val="22"/>
      </w:rPr>
    </w:lvl>
    <w:lvl w:ilvl="2">
      <w:start w:val="0"/>
      <w:numFmt w:val="bullet"/>
      <w:lvlText w:val="o"/>
      <w:lvlJc w:val="left"/>
      <w:pPr>
        <w:ind w:left="1638" w:hanging="285"/>
      </w:pPr>
      <w:rPr>
        <w:rFonts w:hint="default" w:ascii="Courier New" w:hAnsi="Courier New" w:eastAsia="Courier New" w:cs="Courier New"/>
        <w:w w:val="99"/>
        <w:sz w:val="22"/>
        <w:szCs w:val="22"/>
      </w:rPr>
    </w:lvl>
    <w:lvl w:ilvl="3">
      <w:start w:val="0"/>
      <w:numFmt w:val="bullet"/>
      <w:lvlText w:val="•"/>
      <w:lvlJc w:val="left"/>
      <w:pPr>
        <w:ind w:left="2528" w:hanging="285"/>
      </w:pPr>
      <w:rPr>
        <w:rFonts w:hint="default"/>
      </w:rPr>
    </w:lvl>
    <w:lvl w:ilvl="4">
      <w:start w:val="0"/>
      <w:numFmt w:val="bullet"/>
      <w:lvlText w:val="•"/>
      <w:lvlJc w:val="left"/>
      <w:pPr>
        <w:ind w:left="3416" w:hanging="285"/>
      </w:pPr>
      <w:rPr>
        <w:rFonts w:hint="default"/>
      </w:rPr>
    </w:lvl>
    <w:lvl w:ilvl="5">
      <w:start w:val="0"/>
      <w:numFmt w:val="bullet"/>
      <w:lvlText w:val="•"/>
      <w:lvlJc w:val="left"/>
      <w:pPr>
        <w:ind w:left="4304" w:hanging="285"/>
      </w:pPr>
      <w:rPr>
        <w:rFonts w:hint="default"/>
      </w:rPr>
    </w:lvl>
    <w:lvl w:ilvl="6">
      <w:start w:val="0"/>
      <w:numFmt w:val="bullet"/>
      <w:lvlText w:val="•"/>
      <w:lvlJc w:val="left"/>
      <w:pPr>
        <w:ind w:left="5192" w:hanging="285"/>
      </w:pPr>
      <w:rPr>
        <w:rFonts w:hint="default"/>
      </w:rPr>
    </w:lvl>
    <w:lvl w:ilvl="7">
      <w:start w:val="0"/>
      <w:numFmt w:val="bullet"/>
      <w:lvlText w:val="•"/>
      <w:lvlJc w:val="left"/>
      <w:pPr>
        <w:ind w:left="6080" w:hanging="285"/>
      </w:pPr>
      <w:rPr>
        <w:rFonts w:hint="default"/>
      </w:rPr>
    </w:lvl>
    <w:lvl w:ilvl="8">
      <w:start w:val="0"/>
      <w:numFmt w:val="bullet"/>
      <w:lvlText w:val="•"/>
      <w:lvlJc w:val="left"/>
      <w:pPr>
        <w:ind w:left="6968" w:hanging="285"/>
      </w:pPr>
      <w:rPr>
        <w:rFonts w:hint="default"/>
      </w:rPr>
    </w:lvl>
  </w:abstractNum>
  <w:abstractNum w:abstractNumId="0">
    <w:multiLevelType w:val="hybridMultilevel"/>
    <w:lvl w:ilvl="0">
      <w:start w:val="0"/>
      <w:numFmt w:val="bullet"/>
      <w:lvlText w:val=""/>
      <w:lvlJc w:val="left"/>
      <w:pPr>
        <w:ind w:left="929" w:hanging="284"/>
      </w:pPr>
      <w:rPr>
        <w:rFonts w:hint="default" w:ascii="Symbol" w:hAnsi="Symbol" w:eastAsia="Symbol" w:cs="Symbol"/>
        <w:w w:val="99"/>
        <w:sz w:val="22"/>
        <w:szCs w:val="22"/>
      </w:rPr>
    </w:lvl>
    <w:lvl w:ilvl="1">
      <w:start w:val="0"/>
      <w:numFmt w:val="bullet"/>
      <w:lvlText w:val="•"/>
      <w:lvlJc w:val="left"/>
      <w:pPr>
        <w:ind w:left="1702" w:hanging="284"/>
      </w:pPr>
      <w:rPr>
        <w:rFonts w:hint="default"/>
      </w:rPr>
    </w:lvl>
    <w:lvl w:ilvl="2">
      <w:start w:val="0"/>
      <w:numFmt w:val="bullet"/>
      <w:lvlText w:val="•"/>
      <w:lvlJc w:val="left"/>
      <w:pPr>
        <w:ind w:left="2484" w:hanging="284"/>
      </w:pPr>
      <w:rPr>
        <w:rFonts w:hint="default"/>
      </w:rPr>
    </w:lvl>
    <w:lvl w:ilvl="3">
      <w:start w:val="0"/>
      <w:numFmt w:val="bullet"/>
      <w:lvlText w:val="•"/>
      <w:lvlJc w:val="left"/>
      <w:pPr>
        <w:ind w:left="3267" w:hanging="284"/>
      </w:pPr>
      <w:rPr>
        <w:rFonts w:hint="default"/>
      </w:rPr>
    </w:lvl>
    <w:lvl w:ilvl="4">
      <w:start w:val="0"/>
      <w:numFmt w:val="bullet"/>
      <w:lvlText w:val="•"/>
      <w:lvlJc w:val="left"/>
      <w:pPr>
        <w:ind w:left="4049" w:hanging="284"/>
      </w:pPr>
      <w:rPr>
        <w:rFonts w:hint="default"/>
      </w:rPr>
    </w:lvl>
    <w:lvl w:ilvl="5">
      <w:start w:val="0"/>
      <w:numFmt w:val="bullet"/>
      <w:lvlText w:val="•"/>
      <w:lvlJc w:val="left"/>
      <w:pPr>
        <w:ind w:left="4832" w:hanging="284"/>
      </w:pPr>
      <w:rPr>
        <w:rFonts w:hint="default"/>
      </w:rPr>
    </w:lvl>
    <w:lvl w:ilvl="6">
      <w:start w:val="0"/>
      <w:numFmt w:val="bullet"/>
      <w:lvlText w:val="•"/>
      <w:lvlJc w:val="left"/>
      <w:pPr>
        <w:ind w:left="5614" w:hanging="284"/>
      </w:pPr>
      <w:rPr>
        <w:rFonts w:hint="default"/>
      </w:rPr>
    </w:lvl>
    <w:lvl w:ilvl="7">
      <w:start w:val="0"/>
      <w:numFmt w:val="bullet"/>
      <w:lvlText w:val="•"/>
      <w:lvlJc w:val="left"/>
      <w:pPr>
        <w:ind w:left="6397" w:hanging="284"/>
      </w:pPr>
      <w:rPr>
        <w:rFonts w:hint="default"/>
      </w:rPr>
    </w:lvl>
    <w:lvl w:ilvl="8">
      <w:start w:val="0"/>
      <w:numFmt w:val="bullet"/>
      <w:lvlText w:val="•"/>
      <w:lvlJc w:val="left"/>
      <w:pPr>
        <w:ind w:left="7179" w:hanging="284"/>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Heading1" w:type="paragraph">
    <w:name w:val="Heading 1"/>
    <w:basedOn w:val="Normal"/>
    <w:uiPriority w:val="1"/>
    <w:qFormat/>
    <w:pPr>
      <w:ind w:left="929"/>
      <w:outlineLvl w:val="1"/>
    </w:pPr>
    <w:rPr>
      <w:rFonts w:ascii="Calibri" w:hAnsi="Calibri" w:eastAsia="Calibri" w:cs="Calibri"/>
      <w:b/>
      <w:bCs/>
      <w:sz w:val="22"/>
      <w:szCs w:val="22"/>
    </w:rPr>
  </w:style>
  <w:style w:styleId="ListParagraph" w:type="paragraph">
    <w:name w:val="List Paragraph"/>
    <w:basedOn w:val="Normal"/>
    <w:uiPriority w:val="1"/>
    <w:qFormat/>
    <w:pPr>
      <w:ind w:left="929" w:hanging="284"/>
    </w:pPr>
    <w:rPr>
      <w:rFonts w:ascii="Calibri" w:hAnsi="Calibri" w:eastAsia="Calibri" w:cs="Calibri"/>
    </w:rPr>
  </w:style>
  <w:style w:styleId="TableParagraph" w:type="paragraph">
    <w:name w:val="Table Paragraph"/>
    <w:basedOn w:val="Normal"/>
    <w:uiPriority w:val="1"/>
    <w:qFormat/>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mkalogeris</dc:creator>
  <dc:title>&lt;4D6963726F736F667420576F7264202D20C5CBC5C3D7CFD320CFC9CACFCDCFCCC9CAD9CD20C4D1C1D3D4C7D1C9CFD4C7D4D9CD207631372E646F63&gt;</dc:title>
  <dcterms:created xsi:type="dcterms:W3CDTF">2019-04-05T10:35:46Z</dcterms:created>
  <dcterms:modified xsi:type="dcterms:W3CDTF">2019-04-05T10:35:46Z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PScript5.dll Version 5.2.2</vt:lpwstr>
  </property>
  <property fmtid="{D5CDD505-2E9C-101B-9397-08002B2CF9AE}" pid="4" name="LastSaved">
    <vt:filetime>2019-04-05T00:00:00Z</vt:filetime>
  </property>
</Properties>
</file>