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C71" w:rsidRPr="00D124E5" w:rsidRDefault="00097C71" w:rsidP="00097C71">
      <w:pPr>
        <w:pStyle w:val="normalwithoutspacing"/>
        <w:spacing w:before="120" w:after="120"/>
        <w:rPr>
          <w:b/>
          <w:szCs w:val="20"/>
        </w:rPr>
      </w:pPr>
      <w:r w:rsidRPr="00D124E5">
        <w:rPr>
          <w:b/>
          <w:szCs w:val="20"/>
          <w:u w:val="single"/>
        </w:rPr>
        <w:t>Πίνακας ΙΙ.1</w:t>
      </w:r>
      <w:r w:rsidRPr="00D124E5">
        <w:rPr>
          <w:b/>
          <w:szCs w:val="20"/>
          <w:u w:val="single"/>
          <w:lang w:val="en-US"/>
        </w:rPr>
        <w:t>a</w:t>
      </w:r>
      <w:r w:rsidRPr="00D124E5">
        <w:rPr>
          <w:b/>
          <w:szCs w:val="20"/>
        </w:rPr>
        <w:t>: Πίνακ</w:t>
      </w:r>
      <w:bookmarkStart w:id="0" w:name="_GoBack"/>
      <w:bookmarkEnd w:id="0"/>
      <w:r w:rsidRPr="00D124E5">
        <w:rPr>
          <w:b/>
          <w:szCs w:val="20"/>
        </w:rPr>
        <w:t xml:space="preserve">ες “Συμμόρφωσης” Τεχνικής Προσφοράς </w:t>
      </w:r>
    </w:p>
    <w:p w:rsidR="00097C71" w:rsidRDefault="00097C71" w:rsidP="00097C71">
      <w:pPr>
        <w:widowControl w:val="0"/>
        <w:ind w:left="426" w:hanging="426"/>
        <w:jc w:val="center"/>
        <w:rPr>
          <w:b/>
          <w:color w:val="000000"/>
          <w:szCs w:val="20"/>
          <w:lang w:val="el-GR"/>
        </w:rPr>
      </w:pPr>
    </w:p>
    <w:p w:rsidR="00097C71" w:rsidRPr="00D124E5" w:rsidRDefault="00097C71" w:rsidP="00097C71">
      <w:pPr>
        <w:widowControl w:val="0"/>
        <w:ind w:left="426" w:hanging="426"/>
        <w:jc w:val="center"/>
        <w:rPr>
          <w:rStyle w:val="a3"/>
          <w:rFonts w:eastAsia="MS Mincho"/>
          <w:lang w:val="el-GR"/>
        </w:rPr>
      </w:pPr>
      <w:r w:rsidRPr="00D124E5">
        <w:rPr>
          <w:b/>
          <w:color w:val="000000"/>
          <w:szCs w:val="20"/>
          <w:lang w:val="el-GR"/>
        </w:rPr>
        <w:t xml:space="preserve">Τμήμα  Ειδών 1: </w:t>
      </w:r>
      <w:r w:rsidRPr="00D124E5">
        <w:rPr>
          <w:b/>
          <w:bCs/>
          <w:szCs w:val="20"/>
          <w:lang w:val="el-GR"/>
        </w:rPr>
        <w:t xml:space="preserve">Αναλώσιμα </w:t>
      </w:r>
      <w:proofErr w:type="spellStart"/>
      <w:r w:rsidRPr="00D124E5">
        <w:rPr>
          <w:b/>
          <w:bCs/>
          <w:szCs w:val="20"/>
          <w:lang w:val="el-GR"/>
        </w:rPr>
        <w:t>αλληλούχισης</w:t>
      </w:r>
      <w:proofErr w:type="spellEnd"/>
      <w:r w:rsidRPr="00D124E5">
        <w:rPr>
          <w:b/>
          <w:bCs/>
          <w:szCs w:val="20"/>
          <w:lang w:val="el-GR"/>
        </w:rPr>
        <w:t xml:space="preserve"> επόμενης γενιάς</w:t>
      </w:r>
    </w:p>
    <w:tbl>
      <w:tblPr>
        <w:tblW w:w="10007" w:type="dxa"/>
        <w:tblInd w:w="5" w:type="dxa"/>
        <w:tblLook w:val="04A0" w:firstRow="1" w:lastRow="0" w:firstColumn="1" w:lastColumn="0" w:noHBand="0" w:noVBand="1"/>
      </w:tblPr>
      <w:tblGrid>
        <w:gridCol w:w="562"/>
        <w:gridCol w:w="2977"/>
        <w:gridCol w:w="2835"/>
        <w:gridCol w:w="1559"/>
        <w:gridCol w:w="1837"/>
        <w:gridCol w:w="237"/>
      </w:tblGrid>
      <w:tr w:rsidR="00097C71" w:rsidRPr="00D124E5" w:rsidTr="00C27E46">
        <w:trPr>
          <w:gridAfter w:val="1"/>
          <w:wAfter w:w="237" w:type="dxa"/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97C71" w:rsidRPr="00D124E5" w:rsidRDefault="00097C71" w:rsidP="00C27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4E5">
              <w:rPr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97C71" w:rsidRPr="00D124E5" w:rsidRDefault="00097C71" w:rsidP="00C27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124E5">
              <w:rPr>
                <w:b/>
                <w:bCs/>
                <w:color w:val="000000"/>
                <w:sz w:val="20"/>
                <w:szCs w:val="20"/>
              </w:rPr>
              <w:t>Είδος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97C71" w:rsidRPr="00D124E5" w:rsidRDefault="00097C71" w:rsidP="00C27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124E5">
              <w:rPr>
                <w:b/>
                <w:bCs/>
                <w:color w:val="000000"/>
                <w:sz w:val="20"/>
                <w:szCs w:val="20"/>
              </w:rPr>
              <w:t>Προδι</w:t>
            </w:r>
            <w:proofErr w:type="spellEnd"/>
            <w:r w:rsidRPr="00D124E5">
              <w:rPr>
                <w:b/>
                <w:bCs/>
                <w:color w:val="000000"/>
                <w:sz w:val="20"/>
                <w:szCs w:val="20"/>
              </w:rPr>
              <w:t>αγραφές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sz w:val="20"/>
                <w:szCs w:val="20"/>
              </w:rPr>
              <w:t>ΝΑΙ</w:t>
            </w:r>
            <w:r w:rsidRPr="007E7C69">
              <w:rPr>
                <w:sz w:val="20"/>
                <w:szCs w:val="20"/>
                <w:lang w:val="el-GR"/>
              </w:rPr>
              <w:t xml:space="preserve"> - </w:t>
            </w:r>
            <w:r w:rsidRPr="007E7C69">
              <w:rPr>
                <w:sz w:val="20"/>
                <w:szCs w:val="20"/>
              </w:rPr>
              <w:t>ΌΧΙ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97C71" w:rsidRPr="00D124E5" w:rsidRDefault="00097C71" w:rsidP="00C27E46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b/>
                <w:bCs/>
                <w:color w:val="000000"/>
                <w:sz w:val="20"/>
                <w:szCs w:val="20"/>
                <w:lang w:val="el-GR"/>
              </w:rPr>
              <w:t>Παραπομπή</w:t>
            </w:r>
          </w:p>
        </w:tc>
      </w:tr>
      <w:tr w:rsidR="00097C71" w:rsidRPr="00D124E5" w:rsidTr="00C27E46">
        <w:trPr>
          <w:gridAfter w:val="1"/>
          <w:wAfter w:w="237" w:type="dxa"/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71" w:rsidRPr="00D124E5" w:rsidRDefault="00097C71" w:rsidP="00C27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4E5">
              <w:rPr>
                <w:b/>
                <w:bCs/>
                <w:color w:val="000000"/>
                <w:sz w:val="20"/>
                <w:szCs w:val="20"/>
                <w:lang w:val="el-GR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>Σύστημα αντιδραστηρίων για την ποσοτικοποίηση βιβλιοθηκών (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Ion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Universal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Library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Quantitation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Kit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) για τον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αλληλουχητή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ΙΟΝ ΤΟRRΕΝΤ S5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Το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συστημα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αντιδραστηρίων να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περιλαμβανει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>:</w:t>
            </w:r>
            <w:r w:rsidRPr="00D124E5">
              <w:rPr>
                <w:color w:val="000000"/>
                <w:sz w:val="20"/>
                <w:szCs w:val="20"/>
                <w:lang w:val="el-GR"/>
              </w:rPr>
              <w:br/>
              <w:t xml:space="preserve">• 2 σωληνάρια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TaqMan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Fast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Universal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Master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Mix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  <w:lang w:val="el-GR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71" w:rsidRPr="00D124E5" w:rsidRDefault="00097C71" w:rsidP="00C27E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5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71" w:rsidRPr="00D124E5" w:rsidRDefault="00097C71" w:rsidP="00C27E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5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•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Διάλυμς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διοκιμασίας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(</w:t>
            </w:r>
            <w:r w:rsidRPr="00D124E5">
              <w:rPr>
                <w:color w:val="000000"/>
                <w:sz w:val="20"/>
                <w:szCs w:val="20"/>
              </w:rPr>
              <w:t>Assay</w:t>
            </w: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D124E5">
              <w:rPr>
                <w:color w:val="000000"/>
                <w:sz w:val="20"/>
                <w:szCs w:val="20"/>
              </w:rPr>
              <w:t>mix</w:t>
            </w: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250 µ</w:t>
            </w:r>
            <w:r w:rsidRPr="00D124E5">
              <w:rPr>
                <w:color w:val="000000"/>
                <w:sz w:val="20"/>
                <w:szCs w:val="20"/>
              </w:rPr>
              <w:t>L</w:t>
            </w:r>
            <w:r w:rsidRPr="00D124E5">
              <w:rPr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• 2 σωληνάρια βιβλιοθήκης-μάρτυρα του στελέχους </w:t>
            </w:r>
            <w:r w:rsidRPr="00D124E5">
              <w:rPr>
                <w:i/>
                <w:iCs/>
                <w:color w:val="000000"/>
                <w:sz w:val="20"/>
                <w:szCs w:val="20"/>
              </w:rPr>
              <w:t>E</w:t>
            </w:r>
            <w:r w:rsidRPr="00D124E5">
              <w:rPr>
                <w:i/>
                <w:iCs/>
                <w:color w:val="000000"/>
                <w:sz w:val="20"/>
                <w:szCs w:val="20"/>
                <w:lang w:val="el-GR"/>
              </w:rPr>
              <w:t>.</w:t>
            </w:r>
            <w:r w:rsidRPr="00D124E5">
              <w:rPr>
                <w:i/>
                <w:iCs/>
                <w:color w:val="000000"/>
                <w:sz w:val="20"/>
                <w:szCs w:val="20"/>
              </w:rPr>
              <w:t>coli</w:t>
            </w:r>
            <w:r w:rsidRPr="00D124E5">
              <w:rPr>
                <w:i/>
                <w:iCs/>
                <w:color w:val="000000"/>
                <w:sz w:val="20"/>
                <w:szCs w:val="20"/>
                <w:lang w:val="el-GR"/>
              </w:rPr>
              <w:t xml:space="preserve"> </w:t>
            </w:r>
            <w:r w:rsidRPr="00D124E5">
              <w:rPr>
                <w:i/>
                <w:iCs/>
                <w:color w:val="000000"/>
                <w:sz w:val="20"/>
                <w:szCs w:val="20"/>
              </w:rPr>
              <w:t>DH</w:t>
            </w:r>
            <w:r w:rsidRPr="00D124E5">
              <w:rPr>
                <w:i/>
                <w:iCs/>
                <w:color w:val="000000"/>
                <w:sz w:val="20"/>
                <w:szCs w:val="20"/>
                <w:lang w:val="el-GR"/>
              </w:rPr>
              <w:t>10</w:t>
            </w:r>
            <w:r w:rsidRPr="00D124E5">
              <w:rPr>
                <w:i/>
                <w:iCs/>
                <w:color w:val="000000"/>
                <w:sz w:val="20"/>
                <w:szCs w:val="20"/>
              </w:rPr>
              <w:t>B</w:t>
            </w:r>
            <w:r w:rsidRPr="00D124E5">
              <w:rPr>
                <w:i/>
                <w:iCs/>
                <w:color w:val="000000"/>
                <w:sz w:val="20"/>
                <w:szCs w:val="20"/>
                <w:lang w:val="el-GR"/>
              </w:rPr>
              <w:t xml:space="preserve"> </w:t>
            </w:r>
            <w:r w:rsidRPr="00D124E5">
              <w:rPr>
                <w:color w:val="000000"/>
                <w:sz w:val="20"/>
                <w:szCs w:val="20"/>
                <w:lang w:val="el-GR"/>
              </w:rPr>
              <w:t>(25 µ</w:t>
            </w:r>
            <w:r w:rsidRPr="00D124E5">
              <w:rPr>
                <w:color w:val="000000"/>
                <w:sz w:val="20"/>
                <w:szCs w:val="20"/>
              </w:rPr>
              <w:t>L</w:t>
            </w:r>
            <w:r w:rsidRPr="00D124E5">
              <w:rPr>
                <w:color w:val="000000"/>
                <w:sz w:val="20"/>
                <w:szCs w:val="20"/>
                <w:lang w:val="el-GR"/>
              </w:rPr>
              <w:t>/σωληνάριο)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124E5">
              <w:rPr>
                <w:color w:val="000000"/>
                <w:sz w:val="20"/>
                <w:szCs w:val="20"/>
              </w:rPr>
              <w:t>Συσκευ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>ασια 250 α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ντιδρ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>ασεις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71" w:rsidRPr="00D124E5" w:rsidRDefault="00097C71" w:rsidP="00C27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4E5">
              <w:rPr>
                <w:b/>
                <w:bCs/>
                <w:color w:val="000000"/>
                <w:sz w:val="20"/>
                <w:szCs w:val="20"/>
                <w:lang w:val="el-GR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Σύστημα αντιδραστηρίων για την κατασκευή βιβλιοθηκών για τον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αλληλουχητή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ΙΟΝ ΤΟRRΕΝΤ S5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Το σύστημα αντιδραστηρίων να παράγει υψηλής ποιότητας βιβλιοθήκες DNA, να επιτρέπει την ολοκλήρωση της προετοιμασίας της βιβλιοθήκης σε μόλις 2 ώρες για τις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γονιδιωματικές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βιβλιοθήκες και τις βιβλιοθήκες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αμπλικονίων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όταν συνδυάζεται είτε με φυσικές μεθόδους κατάτμησης είτε με την τεχνολογία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ενζυματικού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κατακερματισμού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Ion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Shear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. Να είναι δυνατή η κατασκευή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βιβλιοθήκς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από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min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100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ng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DNA-μήτρας.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71" w:rsidRPr="00D124E5" w:rsidRDefault="00097C71" w:rsidP="00C27E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71" w:rsidRPr="00D124E5" w:rsidRDefault="00097C71" w:rsidP="00C27E4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Να π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εριέχει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</w:t>
            </w:r>
            <w:r w:rsidRPr="00D124E5">
              <w:rPr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Διάλυμ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>α επ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ιδιόρθωσης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άκρων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5× End Repair Buffer,1 tube, 400 µL.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</w:t>
            </w:r>
            <w:r w:rsidRPr="00D124E5">
              <w:rPr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Ένζυμική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ενεργότητ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διόρθωσης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άκρων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End Repair Enzyme,1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</w:t>
            </w:r>
            <w:r w:rsidRPr="00D124E5">
              <w:rPr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Διάλυμ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λιγάσης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10× Ligase Buffer,1 tube, 200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</w:t>
            </w:r>
            <w:r w:rsidRPr="00D124E5">
              <w:rPr>
                <w:color w:val="000000"/>
                <w:sz w:val="14"/>
                <w:szCs w:val="14"/>
              </w:rPr>
              <w:t xml:space="preserve">       </w:t>
            </w:r>
            <w:r w:rsidRPr="00D124E5">
              <w:rPr>
                <w:color w:val="000000"/>
                <w:sz w:val="20"/>
                <w:szCs w:val="20"/>
              </w:rPr>
              <w:t xml:space="preserve">DNA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λιγάση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DNA Ligase, 1 tube, 40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</w:t>
            </w:r>
            <w:r w:rsidRPr="00D124E5">
              <w:rPr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Προσ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>αρμογείς Adapters, 1 tube, 100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</w:t>
            </w:r>
            <w:r w:rsidRPr="00D124E5">
              <w:rPr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Πολυμεράση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Υψηλής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π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ιστότητ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ας Platinum PCR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lastRenderedPageBreak/>
              <w:t>SuperMix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High Fidelity, 2 tubes, 1 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lastRenderedPageBreak/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</w:t>
            </w:r>
            <w:r w:rsidRPr="00D124E5">
              <w:rPr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Εκκινητές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π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ολλ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>απλασιασμού βιβ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λιοθήκης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Library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</w:t>
            </w:r>
            <w:r w:rsidRPr="00D124E5">
              <w:rPr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Εκκινητής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π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ολλ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>απλασιασμού Amplification Primer Mix,1 tube, 100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</w:t>
            </w:r>
            <w:r w:rsidRPr="00D124E5">
              <w:rPr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Πολυμεράση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διόρθωσης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εγκο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>πών Nick Repair Polymerase,1 tube, 160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</w:t>
            </w:r>
            <w:r w:rsidRPr="00D124E5">
              <w:rPr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Μίγμ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δεοξυρι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>βονουκλεοτιδίων dNTP Mix, 1 tube, 40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</w:t>
            </w:r>
            <w:r w:rsidRPr="00D124E5">
              <w:rPr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Διάλυμ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>α Low TE, 2 tubes, 1.5 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25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71" w:rsidRPr="00D124E5" w:rsidRDefault="00097C71" w:rsidP="00C27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4E5">
              <w:rPr>
                <w:b/>
                <w:bCs/>
                <w:color w:val="000000"/>
                <w:sz w:val="20"/>
                <w:szCs w:val="20"/>
                <w:lang w:val="el-GR"/>
              </w:rPr>
              <w:t>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Συσκευασία 4 συστοιχιών ημιαγωγών με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γραμμοκώδικα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barcoded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chips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) για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ανιχνευση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και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αλληλούχηση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τμημάτων μήκους 400-600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bp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για τον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αλληλουχητή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ΙΟΝ ΤΟRRΕΝΤ S5.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Για χρήση με το 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Ion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520™ &amp;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Ion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530™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ExT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Kit-Chef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και τα συστήματα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αλληλούχησης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Ion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S5™ και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Ion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S5™ XL.</w:t>
            </w:r>
            <w:r w:rsidRPr="00D124E5">
              <w:rPr>
                <w:color w:val="000000"/>
                <w:sz w:val="20"/>
                <w:szCs w:val="20"/>
                <w:lang w:val="el-GR"/>
              </w:rPr>
              <w:br/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71" w:rsidRPr="00D124E5" w:rsidRDefault="00097C71" w:rsidP="00C27E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71" w:rsidRPr="00D124E5" w:rsidRDefault="00097C71" w:rsidP="00C27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Να απαιτεί χρόνο περίπου 4,5 ώρες για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αλληλούχηση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τμημάτων 600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bp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71" w:rsidRPr="00D124E5" w:rsidRDefault="00097C71" w:rsidP="00C27E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4E5">
              <w:rPr>
                <w:b/>
                <w:bCs/>
                <w:color w:val="000000"/>
                <w:sz w:val="20"/>
                <w:szCs w:val="20"/>
                <w:lang w:val="el-GR"/>
              </w:rPr>
              <w:t>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Σύστημα αντιδραστηρίων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Ion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520™ &amp;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Ion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530™ Kit-OT2, για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χρηση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για τον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αλληλουχητή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ΙΟΝ ΤΟRRΕΝΤ S5.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124E5">
              <w:rPr>
                <w:color w:val="000000"/>
                <w:sz w:val="20"/>
                <w:szCs w:val="20"/>
              </w:rPr>
              <w:t>Το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σύστημ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>α να π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εριλ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>αμβανει: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71" w:rsidRPr="00D124E5" w:rsidRDefault="00097C71" w:rsidP="00C27E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</w:t>
            </w:r>
            <w:r w:rsidRPr="00D124E5">
              <w:rPr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Δι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αλυμα Ion S5 OT2 Solutions,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</w:t>
            </w:r>
            <w:r w:rsidRPr="00D124E5">
              <w:rPr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Δι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>αλυμα Ion S5 OT2 Supplies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</w:t>
            </w:r>
            <w:r w:rsidRPr="00D124E5">
              <w:rPr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Αντιδρ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>αστήρια Ion 520/530 OT2 Reagents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</w:t>
            </w:r>
            <w:r w:rsidRPr="00D124E5">
              <w:rPr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Αντιδρ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αστήρια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φόρτωσης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Ion 520/530 Loading Reagents-OT2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</w:t>
            </w:r>
            <w:r w:rsidRPr="00D124E5">
              <w:rPr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Διάλυμ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>α α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λληλούχησης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Ion S5 Sequencing Solutions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</w:t>
            </w:r>
            <w:r w:rsidRPr="00D124E5">
              <w:rPr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Αντιδρ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>αστήρια α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λληλούχησης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Ion S5 Sequencing Reagents</w:t>
            </w:r>
          </w:p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15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124E5">
              <w:rPr>
                <w:b/>
                <w:bCs/>
                <w:color w:val="000000"/>
                <w:sz w:val="20"/>
                <w:szCs w:val="20"/>
                <w:lang w:val="el-GR"/>
              </w:rPr>
              <w:lastRenderedPageBreak/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Σύστημα Προσαρμογέων με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γραμμοκώδικα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Το σύστημα να περιέχει ένα σύνολο από 16 μοναδικούς προσαρμογείς με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γραμμοκώδικα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ειδικά σχεδιασμένους και επικυρωμένους για βέλτιστη απόδοση με εξειδικευμένες συστοιχίες ημιαγωγών.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4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Να επιτρέπει στο χρήστη να συγκεντρώσει μέχρι 16 βιβλιοθήκες θραυσμάτων πριν από τη PCR γαλακτώματος και στη συνέχεια να διεξάγει ανάλυση πολλαπλής αλληλουχίας, απλουστεύοντας τη ροή εργασίας της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αλληλούχησης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σε  ημιαγωγούς για ένα ευρύ φάσμα εφαρμογών, συμπεριλαμβανομένου της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στοχευμένης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επαναλληλούχησης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. Η χρήση αυτού του συστήματος με άλλα συστήματα προσαρμογέων γραμμωτού κώδικα να επιτρέπει τη συγκέντρωση έως 96 βιβλιοθηκών με θραύσματα σε ένα δείγμα προς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αλληλούχηση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15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>Να επιτρέπει την πολυπλεξία πολυάριθμων δειγμάτων βιβλιοθήκης θραυσμάτων σε ένα ενιαίο τσιπ προσδιορισμού αλληλουχίας με τη χρήση ισχυρών μοριακών γραμμικών κωδίκων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Να π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εριέχει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Ion Xpress™ P1 Adapter, 1 tube, 320 µL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Ion Xpress™ Barcode 1, 1 tube, 20 µL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Ion Xpress™ Barcode 2,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Ion Xpress™ Barcode 3,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Ion Xpress™ Barcode 4,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Ion Xpress™ Barcode 5,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Ion Xpress™ Barcode 6, 1 tube.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Ion Xpress™ Barcode 7,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Ion Xpress™ Barcode 8,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Ion Xpress™ Barcode 9,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Ion Xpress™ Barcode 10,1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Ion Xpress™ Barcode 11,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Ion Xpress™ Barcode 12,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Ion Xpress™ Barcode 13,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Ion Xpress™ Barcode 14,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Ion Xpress™ Barcode 15, 1 tube, 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Ion Xpress™ Barcode 16, 1 tube,20 µL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15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71" w:rsidRPr="00D124E5" w:rsidRDefault="00097C71" w:rsidP="00C27E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24E5">
              <w:rPr>
                <w:b/>
                <w:bCs/>
                <w:color w:val="000000"/>
                <w:sz w:val="20"/>
                <w:szCs w:val="20"/>
                <w:lang w:val="el-GR"/>
              </w:rPr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Σύστημα αντιδραστηρίων για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μεταγονιδιωματική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ανάλυση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προκαρυωτικών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βιοκοινωνιών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με τη χρήση του 16S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Το σύστημα να είναι κατάλληλο για γρήγορες, περιεκτικές και ευρείας κλίμακας αναλύσεις μικτών μικροβιακών πληθυσμών με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τεχνολογια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IOn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Next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generation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sequencing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Να επιτρέπει την ενίσχυση με PCR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υπερμεταβλητών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περιοχών του γονιδίου 16S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rDNA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από βακτήρια.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15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Το σύστημα να περιλαμβάνει 2 σετ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εκκινητών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που μπορούν να χρησιμοποιηθούν για την ενίσχυση των αντίστοιχων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υπερμεταβλητών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περιοχών του γονιδίου 16S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rDNA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σε βακτήρια: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• Σετ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εκκινητων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V2-4-8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• Σετ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εκκινητών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V3-6,7-9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Τα σετ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εκκινητών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να επιτρέπουν την ακριβή ανίχνευση και ταυτοποίηση ενός ευρέος φάσματος βακτηρίων μέχρι το επίπεδο γένους ή είδους.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>Να περιλαμβάνει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• DNA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dilution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buffer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(7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mL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• 2 tubes 2X environmental master mix (0.8 mL per tube)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• E. coli DNA control (40 µL)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• Negative control water (1 mL)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• 16S primer set V2-4-8 (300 µL)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• 16S primer set V3-6,7-9 (300 µL)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71" w:rsidRPr="00D124E5" w:rsidRDefault="00097C71" w:rsidP="00C27E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24E5">
              <w:rPr>
                <w:b/>
                <w:bCs/>
                <w:color w:val="00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  <w:lang w:val="el-GR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Σύστημα αντιδραστηρίων για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αλληλούχηση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επόμενης γενιάς στον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αλληλουχητή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ION TORRENT S5 (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Ion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520™ &amp;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Ion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530™ Kit-OT2)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Το σύστημα να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περιλαμβανει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•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Ion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 S5 OT2 </w:t>
            </w:r>
            <w:proofErr w:type="spellStart"/>
            <w:r w:rsidRPr="00D124E5">
              <w:rPr>
                <w:color w:val="000000"/>
                <w:sz w:val="20"/>
                <w:szCs w:val="20"/>
                <w:lang w:val="el-GR"/>
              </w:rPr>
              <w:t>Solutions</w:t>
            </w:r>
            <w:proofErr w:type="spellEnd"/>
            <w:r w:rsidRPr="00D124E5">
              <w:rPr>
                <w:color w:val="000000"/>
                <w:sz w:val="20"/>
                <w:szCs w:val="20"/>
                <w:lang w:val="el-GR"/>
              </w:rPr>
              <w:t xml:space="preserve">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• Ion S5 OT2 Supplies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• Ion 520/530 OT2 Reagents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• Ion 520/530 Loading Reagents-OT2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• Ion S5 Sequencing Solutions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r w:rsidRPr="00D124E5">
              <w:rPr>
                <w:color w:val="000000"/>
                <w:sz w:val="20"/>
                <w:szCs w:val="20"/>
              </w:rPr>
              <w:t>• Ion S5 Sequencing Reagents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  <w:tr w:rsidR="00097C71" w:rsidRPr="00D124E5" w:rsidTr="00C27E46">
        <w:trPr>
          <w:trHeight w:val="3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71" w:rsidRPr="00D124E5" w:rsidRDefault="00097C71" w:rsidP="00C27E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124E5">
              <w:rPr>
                <w:color w:val="000000"/>
                <w:sz w:val="20"/>
                <w:szCs w:val="20"/>
              </w:rPr>
              <w:t>Συσκευ</w:t>
            </w:r>
            <w:proofErr w:type="spellEnd"/>
            <w:r w:rsidRPr="00D124E5">
              <w:rPr>
                <w:color w:val="000000"/>
                <w:sz w:val="20"/>
                <w:szCs w:val="20"/>
              </w:rPr>
              <w:t xml:space="preserve">ασια 1 </w:t>
            </w:r>
            <w:proofErr w:type="spellStart"/>
            <w:r w:rsidRPr="00D124E5">
              <w:rPr>
                <w:color w:val="000000"/>
                <w:sz w:val="20"/>
                <w:szCs w:val="20"/>
              </w:rPr>
              <w:t>κιτ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71" w:rsidRPr="007E7C69" w:rsidRDefault="00097C71" w:rsidP="00C27E46">
            <w:pPr>
              <w:jc w:val="center"/>
              <w:rPr>
                <w:sz w:val="20"/>
                <w:szCs w:val="20"/>
              </w:rPr>
            </w:pPr>
            <w:r w:rsidRPr="007E7C69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C71" w:rsidRPr="00D124E5" w:rsidRDefault="00097C71" w:rsidP="00C27E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97C71" w:rsidRPr="00D124E5" w:rsidRDefault="00097C71" w:rsidP="00C27E46">
            <w:pPr>
              <w:rPr>
                <w:sz w:val="20"/>
                <w:szCs w:val="20"/>
              </w:rPr>
            </w:pPr>
          </w:p>
        </w:tc>
      </w:tr>
    </w:tbl>
    <w:p w:rsidR="00097C71" w:rsidRDefault="00097C71" w:rsidP="00097C71">
      <w:pPr>
        <w:spacing w:before="57" w:after="57"/>
        <w:rPr>
          <w:i/>
          <w:color w:val="5B9BD5"/>
          <w:szCs w:val="22"/>
          <w:lang w:val="el-GR"/>
        </w:rPr>
      </w:pPr>
    </w:p>
    <w:p w:rsidR="00235824" w:rsidRDefault="00235824"/>
    <w:sectPr w:rsidR="00235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71"/>
    <w:rsid w:val="00097C71"/>
    <w:rsid w:val="0023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0DE31-1665-41C1-A4CF-69D1C7CC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C7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C71"/>
    <w:rPr>
      <w:sz w:val="16"/>
    </w:rPr>
  </w:style>
  <w:style w:type="paragraph" w:customStyle="1" w:styleId="normalwithoutspacing">
    <w:name w:val="normal_without_spacing"/>
    <w:basedOn w:val="a"/>
    <w:rsid w:val="00097C71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1220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Μπουρδούνης</dc:creator>
  <cp:keywords/>
  <dc:description/>
  <cp:lastModifiedBy>Ιωάννης Μπουρδούνης</cp:lastModifiedBy>
  <cp:revision>1</cp:revision>
  <dcterms:created xsi:type="dcterms:W3CDTF">2023-01-17T10:59:00Z</dcterms:created>
  <dcterms:modified xsi:type="dcterms:W3CDTF">2023-01-17T11:00:00Z</dcterms:modified>
</cp:coreProperties>
</file>